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3</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95163" w:rsidRDefault="00C318FA" w:rsidP="007122A3">
                <w:pPr>
                  <w:suppressLineNumbers/>
                  <w:rPr>
                    <w:rFonts w:ascii="Arial" w:hAnsi="Arial"/>
                    <w:b/>
                    <w:bCs/>
                    <w:noProof w:val="0"/>
                    <w:sz w:val="26"/>
                    <w:szCs w:val="26"/>
                    <w:rtl/>
                  </w:rPr>
                </w:pPr>
                <w:r>
                  <w:rPr>
                    <w:rFonts w:ascii="Arial" w:hAnsi="Arial"/>
                    <w:b/>
                    <w:bCs/>
                    <w:noProof w:val="0"/>
                    <w:sz w:val="26"/>
                    <w:szCs w:val="26"/>
                    <w:rtl/>
                  </w:rPr>
                  <w:t>מבקש</w:t>
                </w:r>
                <w:r w:rsidR="007122A3">
                  <w:rPr>
                    <w:rFonts w:ascii="Arial" w:hAnsi="Arial" w:hint="cs"/>
                    <w:b/>
                    <w:bCs/>
                    <w:noProof w:val="0"/>
                    <w:sz w:val="26"/>
                    <w:szCs w:val="26"/>
                    <w:rtl/>
                  </w:rPr>
                  <w:t>:</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9E66FD" w:rsidP="00C67916">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ו</w:t>
                </w:r>
                <w:r w:rsidR="00C67916">
                  <w:rPr>
                    <w:rFonts w:ascii="Arial" w:hAnsi="Arial" w:hint="cs"/>
                    <w:b/>
                    <w:bCs/>
                    <w:noProof w:val="0"/>
                    <w:sz w:val="26"/>
                    <w:szCs w:val="26"/>
                    <w:rtl/>
                  </w:rPr>
                  <w:t xml:space="preserve">. </w:t>
                </w:r>
                <w:r w:rsidR="00064651">
                  <w:rPr>
                    <w:rFonts w:ascii="Arial" w:hAnsi="Arial"/>
                    <w:b/>
                    <w:bCs/>
                    <w:noProof w:val="0"/>
                    <w:sz w:val="26"/>
                    <w:szCs w:val="26"/>
                    <w:rtl/>
                  </w:rPr>
                  <w:t>א</w:t>
                </w:r>
                <w:r w:rsidR="00C67916">
                  <w:rPr>
                    <w:rFonts w:ascii="Arial" w:hAnsi="Arial" w:hint="cs"/>
                    <w:b/>
                    <w:bCs/>
                    <w:noProof w:val="0"/>
                    <w:sz w:val="26"/>
                    <w:szCs w:val="26"/>
                    <w:rtl/>
                  </w:rPr>
                  <w:t>.</w:t>
                </w:r>
                <w:r w:rsidR="00064651">
                  <w:rPr>
                    <w:rFonts w:ascii="Arial" w:hAnsi="Arial"/>
                    <w:b/>
                    <w:bCs/>
                    <w:noProof w:val="0"/>
                    <w:sz w:val="26"/>
                    <w:szCs w:val="26"/>
                    <w:rtl/>
                  </w:rPr>
                  <w:t>ע</w:t>
                </w:r>
                <w:r w:rsidR="00C67916">
                  <w:rPr>
                    <w:rFonts w:ascii="Arial" w:hAnsi="Arial" w:hint="cs"/>
                    <w:b/>
                    <w:bCs/>
                    <w:noProof w:val="0"/>
                    <w:sz w:val="26"/>
                    <w:szCs w:val="26"/>
                    <w:rtl/>
                  </w:rPr>
                  <w:t xml:space="preserve"> </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E66FD" w:rsidP="007122A3">
            <w:pPr>
              <w:suppressLineNumbers/>
              <w:rPr>
                <w:rFonts w:ascii="Arial" w:hAnsi="Arial"/>
                <w:b/>
                <w:bCs/>
                <w:noProof w:val="0"/>
                <w:sz w:val="26"/>
                <w:szCs w:val="26"/>
              </w:rPr>
            </w:pPr>
            <w:sdt>
              <w:sdtPr>
                <w:rPr>
                  <w:rtl/>
                </w:rPr>
                <w:alias w:val="1184"/>
                <w:tag w:val="1184"/>
                <w:id w:val="-340621022"/>
                <w:text w:multiLine="1"/>
              </w:sdtPr>
              <w:sdtEndPr/>
              <w:sdtContent>
                <w:r w:rsidR="007122A3">
                  <w:rPr>
                    <w:rFonts w:ascii="Arial" w:hAnsi="Arial"/>
                    <w:b/>
                    <w:bCs/>
                    <w:noProof w:val="0"/>
                    <w:sz w:val="26"/>
                    <w:szCs w:val="26"/>
                    <w:rtl/>
                  </w:rPr>
                  <w:t>משיב</w:t>
                </w:r>
                <w:r w:rsidR="007122A3">
                  <w:rPr>
                    <w:rFonts w:hint="cs"/>
                    <w:rtl/>
                  </w:rPr>
                  <w:t>ה:</w:t>
                </w:r>
              </w:sdtContent>
            </w:sdt>
          </w:p>
        </w:tc>
        <w:tc>
          <w:tcPr>
            <w:tcW w:w="5571" w:type="dxa"/>
            <w:gridSpan w:val="2"/>
          </w:tcPr>
          <w:p w:rsidR="00CF6BB7" w:rsidRDefault="009E66FD" w:rsidP="00C67916">
            <w:pPr>
              <w:suppressLineNumbers/>
              <w:rPr>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י</w:t>
                </w:r>
                <w:r w:rsidR="00C67916">
                  <w:rPr>
                    <w:rFonts w:ascii="Arial" w:hAnsi="Arial" w:hint="cs"/>
                    <w:b/>
                    <w:bCs/>
                    <w:noProof w:val="0"/>
                    <w:sz w:val="26"/>
                    <w:szCs w:val="26"/>
                    <w:rtl/>
                  </w:rPr>
                  <w:t>.ע.</w:t>
                </w:r>
              </w:sdtContent>
            </w:sdt>
            <w:r w:rsidR="00C67916">
              <w:rPr>
                <w:rFonts w:ascii="Arial" w:hAnsi="Arial" w:hint="cs"/>
                <w:b/>
                <w:bCs/>
                <w:noProof w:val="0"/>
                <w:sz w:val="26"/>
                <w:szCs w:val="26"/>
                <w:rtl/>
              </w:rPr>
              <w:t xml:space="preserve"> </w:t>
            </w:r>
          </w:p>
        </w:tc>
      </w:tr>
      <w:tr w:rsidR="00CF6BB7" w:rsidTr="00280865">
        <w:trPr>
          <w:jc w:val="center"/>
        </w:trPr>
        <w:tc>
          <w:tcPr>
            <w:tcW w:w="8820" w:type="dxa"/>
            <w:gridSpan w:val="4"/>
          </w:tcPr>
          <w:p w:rsidR="00CF6BB7" w:rsidRPr="00996935" w:rsidRDefault="00CF6BB7" w:rsidP="00D44968">
            <w:pPr>
              <w:suppressLineNumbers/>
              <w:rPr>
                <w:rtl/>
              </w:rPr>
            </w:pPr>
          </w:p>
        </w:tc>
      </w:tr>
      <w:tr w:rsidR="00CF6BB7">
        <w:trPr>
          <w:jc w:val="center"/>
        </w:trPr>
        <w:tc>
          <w:tcPr>
            <w:tcW w:w="3249" w:type="dxa"/>
            <w:gridSpan w:val="2"/>
          </w:tcPr>
          <w:p w:rsidR="00695163" w:rsidRDefault="00695163">
            <w:pPr>
              <w:rPr>
                <w:rFonts w:ascii="David" w:eastAsia="David" w:hAnsi="David"/>
                <w:noProof w:val="0"/>
              </w:rPr>
            </w:pPr>
          </w:p>
        </w:tc>
        <w:tc>
          <w:tcPr>
            <w:tcW w:w="5571" w:type="dxa"/>
            <w:gridSpan w:val="2"/>
          </w:tcPr>
          <w:p w:rsidR="00695163" w:rsidRDefault="00695163">
            <w:pPr>
              <w:rPr>
                <w:b/>
                <w:bCs/>
                <w:sz w:val="26"/>
                <w:szCs w:val="26"/>
              </w:rPr>
            </w:pPr>
          </w:p>
        </w:tc>
      </w:tr>
      <w:tr w:rsidR="004C17EE" w:rsidTr="00D620FD">
        <w:trPr>
          <w:jc w:val="center"/>
        </w:trPr>
        <w:tc>
          <w:tcPr>
            <w:tcW w:w="8820" w:type="dxa"/>
            <w:gridSpan w:val="4"/>
          </w:tcPr>
          <w:p w:rsidR="00695163" w:rsidRDefault="00695163">
            <w:pPr>
              <w:suppressLineNumbers/>
              <w:rPr>
                <w:rFonts w:ascii="Arial" w:hAnsi="Arial"/>
                <w:b/>
                <w:bCs/>
                <w:noProof w:val="0"/>
                <w:sz w:val="26"/>
                <w:szCs w:val="26"/>
                <w:rtl/>
              </w:rPr>
            </w:pPr>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A31EAD" w:rsidP="00D9019F">
      <w:pPr>
        <w:spacing w:line="360" w:lineRule="auto"/>
        <w:jc w:val="both"/>
        <w:rPr>
          <w:rFonts w:ascii="Arial" w:hAnsi="Arial"/>
          <w:noProof w:val="0"/>
          <w:rtl/>
        </w:rPr>
      </w:pPr>
      <w:bookmarkStart w:id="1" w:name="NGCSBookmark"/>
      <w:bookmarkEnd w:id="1"/>
      <w:r>
        <w:rPr>
          <w:rFonts w:ascii="Arial" w:hAnsi="Arial" w:hint="cs"/>
          <w:noProof w:val="0"/>
          <w:rtl/>
        </w:rPr>
        <w:t xml:space="preserve">בקשה ליישוב סכסוך הוגשה על ידי המשיבה, במסגרתה </w:t>
      </w:r>
      <w:r w:rsidR="00D9019F">
        <w:rPr>
          <w:rFonts w:ascii="Arial" w:hAnsi="Arial" w:hint="cs"/>
          <w:noProof w:val="0"/>
          <w:rtl/>
        </w:rPr>
        <w:t xml:space="preserve">עתרה </w:t>
      </w:r>
      <w:r>
        <w:rPr>
          <w:rFonts w:ascii="Arial" w:hAnsi="Arial" w:hint="cs"/>
          <w:noProof w:val="0"/>
          <w:rtl/>
        </w:rPr>
        <w:t>לפסיקת מזונות דחופים</w:t>
      </w:r>
      <w:r w:rsidR="00415957">
        <w:rPr>
          <w:rFonts w:ascii="Arial" w:hAnsi="Arial" w:hint="cs"/>
          <w:noProof w:val="0"/>
          <w:rtl/>
        </w:rPr>
        <w:t xml:space="preserve">, בעבור </w:t>
      </w:r>
      <w:r w:rsidR="00D9019F">
        <w:rPr>
          <w:rFonts w:ascii="Arial" w:hAnsi="Arial" w:hint="cs"/>
          <w:noProof w:val="0"/>
          <w:rtl/>
        </w:rPr>
        <w:t>ילידיהם ה</w:t>
      </w:r>
      <w:r w:rsidR="00415957">
        <w:rPr>
          <w:rFonts w:ascii="Arial" w:hAnsi="Arial" w:hint="cs"/>
          <w:noProof w:val="0"/>
          <w:rtl/>
        </w:rPr>
        <w:t xml:space="preserve">קטינים של הצדדים, שנולדו בשנת 2009 ו- 2012. </w:t>
      </w:r>
      <w:r>
        <w:rPr>
          <w:rFonts w:ascii="Arial" w:hAnsi="Arial" w:hint="cs"/>
          <w:noProof w:val="0"/>
          <w:rtl/>
        </w:rPr>
        <w:t xml:space="preserve">המבקש הגיש בקשה לסגור התיק ולדחות בקשתה על הסף, </w:t>
      </w:r>
      <w:r w:rsidR="00415957">
        <w:rPr>
          <w:rFonts w:ascii="Arial" w:hAnsi="Arial" w:hint="cs"/>
          <w:noProof w:val="0"/>
          <w:rtl/>
        </w:rPr>
        <w:t xml:space="preserve">בעילה של </w:t>
      </w:r>
      <w:r>
        <w:rPr>
          <w:rFonts w:ascii="Arial" w:hAnsi="Arial" w:hint="cs"/>
          <w:noProof w:val="0"/>
          <w:rtl/>
        </w:rPr>
        <w:t>העדר סמכות</w:t>
      </w:r>
      <w:r w:rsidR="00415957">
        <w:rPr>
          <w:rFonts w:ascii="Arial" w:hAnsi="Arial" w:hint="cs"/>
          <w:noProof w:val="0"/>
          <w:rtl/>
        </w:rPr>
        <w:t xml:space="preserve"> עניינית</w:t>
      </w:r>
      <w:r w:rsidR="00D9019F">
        <w:rPr>
          <w:rFonts w:ascii="Arial" w:hAnsi="Arial" w:hint="cs"/>
          <w:noProof w:val="0"/>
          <w:rtl/>
        </w:rPr>
        <w:t xml:space="preserve"> כן טען כי יש לדחות גם הבקשה לגופה.</w:t>
      </w:r>
    </w:p>
    <w:p w:rsidR="00694556" w:rsidRPr="00DE1E7D" w:rsidRDefault="00694556">
      <w:pPr>
        <w:spacing w:line="360" w:lineRule="auto"/>
        <w:jc w:val="both"/>
        <w:rPr>
          <w:rFonts w:ascii="Arial" w:hAnsi="Arial"/>
          <w:noProof w:val="0"/>
          <w:rtl/>
        </w:rPr>
      </w:pPr>
    </w:p>
    <w:p w:rsidR="00694556" w:rsidRDefault="00A31EAD" w:rsidP="00D9019F">
      <w:pPr>
        <w:spacing w:line="360" w:lineRule="auto"/>
        <w:jc w:val="both"/>
        <w:rPr>
          <w:rFonts w:ascii="Arial" w:hAnsi="Arial"/>
          <w:noProof w:val="0"/>
          <w:rtl/>
        </w:rPr>
      </w:pPr>
      <w:r>
        <w:rPr>
          <w:rFonts w:ascii="Arial" w:hAnsi="Arial" w:hint="cs"/>
          <w:noProof w:val="0"/>
          <w:rtl/>
        </w:rPr>
        <w:t xml:space="preserve">לטענת המבקש, בין הצדדים תלויה ועומדת תביעה לזמני שהות שהגיש המשיב, </w:t>
      </w:r>
      <w:r w:rsidR="00D9019F">
        <w:rPr>
          <w:rFonts w:ascii="Arial" w:hAnsi="Arial" w:hint="cs"/>
          <w:noProof w:val="0"/>
          <w:rtl/>
        </w:rPr>
        <w:t>לבית הדין השרעי, במסגרתה</w:t>
      </w:r>
      <w:r>
        <w:rPr>
          <w:rFonts w:ascii="Arial" w:hAnsi="Arial" w:hint="cs"/>
          <w:noProof w:val="0"/>
          <w:rtl/>
        </w:rPr>
        <w:t xml:space="preserve"> נפגש הקאדי עם ילדי הצדדים, בפברואר 2024, </w:t>
      </w:r>
      <w:r w:rsidR="00D9019F">
        <w:rPr>
          <w:rFonts w:ascii="Arial" w:hAnsi="Arial" w:hint="cs"/>
          <w:noProof w:val="0"/>
          <w:rtl/>
        </w:rPr>
        <w:t xml:space="preserve">וזאת </w:t>
      </w:r>
      <w:r>
        <w:rPr>
          <w:rFonts w:ascii="Arial" w:hAnsi="Arial" w:hint="cs"/>
          <w:noProof w:val="0"/>
          <w:rtl/>
        </w:rPr>
        <w:t>בנוכחות אפוטרופוס לדין שמונה ועו"ס לסדרי דין. נטען</w:t>
      </w:r>
      <w:r w:rsidR="00D9019F">
        <w:rPr>
          <w:rFonts w:ascii="Arial" w:hAnsi="Arial" w:hint="cs"/>
          <w:noProof w:val="0"/>
          <w:rtl/>
        </w:rPr>
        <w:t>,</w:t>
      </w:r>
      <w:r>
        <w:rPr>
          <w:rFonts w:ascii="Arial" w:hAnsi="Arial" w:hint="cs"/>
          <w:noProof w:val="0"/>
          <w:rtl/>
        </w:rPr>
        <w:t xml:space="preserve"> כי המשיבה מגישה בקשות שונות בפני ערכאות שונות, בחוסר תום לב עת נקבע, על ידי בית הדין השרעי, כי עליה לה</w:t>
      </w:r>
      <w:r w:rsidR="00C318FA">
        <w:rPr>
          <w:rFonts w:ascii="Arial" w:hAnsi="Arial" w:hint="cs"/>
          <w:noProof w:val="0"/>
          <w:rtl/>
        </w:rPr>
        <w:t>י</w:t>
      </w:r>
      <w:r>
        <w:rPr>
          <w:rFonts w:ascii="Arial" w:hAnsi="Arial" w:hint="cs"/>
          <w:noProof w:val="0"/>
          <w:rtl/>
        </w:rPr>
        <w:t>מנע מעשות כן עד שיושלם ההליך הנוגע לחידוש הקשר בין המבקש לילדי הצדדים.</w:t>
      </w:r>
    </w:p>
    <w:p w:rsidR="007122A3" w:rsidRDefault="007122A3">
      <w:pPr>
        <w:spacing w:line="360" w:lineRule="auto"/>
        <w:jc w:val="both"/>
        <w:rPr>
          <w:rFonts w:ascii="Arial" w:hAnsi="Arial"/>
          <w:noProof w:val="0"/>
          <w:rtl/>
        </w:rPr>
      </w:pPr>
    </w:p>
    <w:p w:rsidR="00A31EAD" w:rsidRDefault="00565DD2" w:rsidP="00C67916">
      <w:pPr>
        <w:spacing w:line="360" w:lineRule="auto"/>
        <w:jc w:val="both"/>
        <w:rPr>
          <w:rFonts w:ascii="Arial" w:hAnsi="Arial"/>
          <w:noProof w:val="0"/>
          <w:rtl/>
        </w:rPr>
      </w:pPr>
      <w:r>
        <w:rPr>
          <w:rFonts w:ascii="Arial" w:hAnsi="Arial" w:hint="cs"/>
          <w:noProof w:val="0"/>
          <w:rtl/>
        </w:rPr>
        <w:t>המבקש הוסיף</w:t>
      </w:r>
      <w:r w:rsidR="00D9019F">
        <w:rPr>
          <w:rFonts w:ascii="Arial" w:hAnsi="Arial" w:hint="cs"/>
          <w:noProof w:val="0"/>
          <w:rtl/>
        </w:rPr>
        <w:t>,</w:t>
      </w:r>
      <w:r>
        <w:rPr>
          <w:rFonts w:ascii="Arial" w:hAnsi="Arial" w:hint="cs"/>
          <w:noProof w:val="0"/>
          <w:rtl/>
        </w:rPr>
        <w:t xml:space="preserve"> כי ביום 02.03.24</w:t>
      </w:r>
      <w:r w:rsidR="00D9019F">
        <w:rPr>
          <w:rFonts w:ascii="Arial" w:hAnsi="Arial" w:hint="cs"/>
          <w:noProof w:val="0"/>
          <w:rtl/>
        </w:rPr>
        <w:t>,</w:t>
      </w:r>
      <w:r>
        <w:rPr>
          <w:rFonts w:ascii="Arial" w:hAnsi="Arial" w:hint="cs"/>
          <w:noProof w:val="0"/>
          <w:rtl/>
        </w:rPr>
        <w:t xml:space="preserve"> ניתן פסק דין בעניין </w:t>
      </w:r>
      <w:r w:rsidR="00D9019F">
        <w:rPr>
          <w:rFonts w:ascii="Arial" w:hAnsi="Arial" w:hint="cs"/>
          <w:noProof w:val="0"/>
          <w:rtl/>
        </w:rPr>
        <w:t xml:space="preserve">הגירושין של </w:t>
      </w:r>
      <w:r>
        <w:rPr>
          <w:rFonts w:ascii="Arial" w:hAnsi="Arial" w:hint="cs"/>
          <w:noProof w:val="0"/>
          <w:rtl/>
        </w:rPr>
        <w:t xml:space="preserve">הצדדים, זמני שהות ועוד, כאשר המשיבה אינה מקיימת התחייבויותיה </w:t>
      </w:r>
      <w:r w:rsidR="00D9019F">
        <w:rPr>
          <w:rFonts w:ascii="Arial" w:hAnsi="Arial" w:hint="cs"/>
          <w:noProof w:val="0"/>
          <w:rtl/>
        </w:rPr>
        <w:t xml:space="preserve">בהתאם לפסק הדין </w:t>
      </w:r>
      <w:r>
        <w:rPr>
          <w:rFonts w:ascii="Arial" w:hAnsi="Arial" w:hint="cs"/>
          <w:noProof w:val="0"/>
          <w:rtl/>
        </w:rPr>
        <w:t>ועד כה המבקש לא ראה את ילדיו. כן ניתנה החלטה על ידי בית הדין השרעי</w:t>
      </w:r>
      <w:r w:rsidR="00D9019F">
        <w:rPr>
          <w:rFonts w:ascii="Arial" w:hAnsi="Arial" w:hint="cs"/>
          <w:noProof w:val="0"/>
          <w:rtl/>
        </w:rPr>
        <w:t>,</w:t>
      </w:r>
      <w:r>
        <w:rPr>
          <w:rFonts w:ascii="Arial" w:hAnsi="Arial" w:hint="cs"/>
          <w:noProof w:val="0"/>
          <w:rtl/>
        </w:rPr>
        <w:t xml:space="preserve"> </w:t>
      </w:r>
      <w:r w:rsidR="00C67916">
        <w:rPr>
          <w:rFonts w:ascii="Arial" w:hAnsi="Arial" w:hint="cs"/>
          <w:noProof w:val="0"/>
          <w:rtl/>
        </w:rPr>
        <w:t>בשנת 2015</w:t>
      </w:r>
      <w:r>
        <w:rPr>
          <w:rFonts w:ascii="Arial" w:hAnsi="Arial" w:hint="cs"/>
          <w:noProof w:val="0"/>
          <w:rtl/>
        </w:rPr>
        <w:t>, לרבות בסוגיית מזונות המשיבה ומזונות הילדים.</w:t>
      </w:r>
    </w:p>
    <w:p w:rsidR="00565DD2" w:rsidRDefault="00565DD2">
      <w:pPr>
        <w:spacing w:line="360" w:lineRule="auto"/>
        <w:jc w:val="both"/>
        <w:rPr>
          <w:rFonts w:ascii="Arial" w:hAnsi="Arial"/>
          <w:noProof w:val="0"/>
          <w:rtl/>
        </w:rPr>
      </w:pPr>
      <w:r>
        <w:rPr>
          <w:rFonts w:ascii="Arial" w:hAnsi="Arial" w:hint="cs"/>
          <w:noProof w:val="0"/>
          <w:rtl/>
        </w:rPr>
        <w:t>עוד הוסיף</w:t>
      </w:r>
      <w:r w:rsidR="00D9019F">
        <w:rPr>
          <w:rFonts w:ascii="Arial" w:hAnsi="Arial" w:hint="cs"/>
          <w:noProof w:val="0"/>
          <w:rtl/>
        </w:rPr>
        <w:t>,</w:t>
      </w:r>
      <w:r>
        <w:rPr>
          <w:rFonts w:ascii="Arial" w:hAnsi="Arial" w:hint="cs"/>
          <w:noProof w:val="0"/>
          <w:rtl/>
        </w:rPr>
        <w:t xml:space="preserve"> כי המשיבה הגישה תביעת רכוש לבית הדין</w:t>
      </w:r>
      <w:r w:rsidR="00BB4636">
        <w:rPr>
          <w:rFonts w:ascii="Arial" w:hAnsi="Arial" w:hint="cs"/>
          <w:noProof w:val="0"/>
          <w:rtl/>
        </w:rPr>
        <w:t>.</w:t>
      </w:r>
    </w:p>
    <w:p w:rsidR="007122A3" w:rsidRDefault="007122A3">
      <w:pPr>
        <w:spacing w:line="360" w:lineRule="auto"/>
        <w:jc w:val="both"/>
        <w:rPr>
          <w:rFonts w:ascii="Arial" w:hAnsi="Arial"/>
          <w:noProof w:val="0"/>
          <w:rtl/>
        </w:rPr>
      </w:pPr>
    </w:p>
    <w:p w:rsidR="00565DD2" w:rsidRPr="00DE1E7D" w:rsidRDefault="00565DD2" w:rsidP="007122A3">
      <w:pPr>
        <w:spacing w:line="360" w:lineRule="auto"/>
        <w:jc w:val="both"/>
        <w:rPr>
          <w:rFonts w:ascii="Arial" w:hAnsi="Arial"/>
          <w:noProof w:val="0"/>
          <w:rtl/>
        </w:rPr>
      </w:pPr>
      <w:r>
        <w:rPr>
          <w:rFonts w:ascii="Arial" w:hAnsi="Arial" w:hint="cs"/>
          <w:noProof w:val="0"/>
          <w:rtl/>
        </w:rPr>
        <w:lastRenderedPageBreak/>
        <w:t xml:space="preserve">המבקש </w:t>
      </w:r>
      <w:r w:rsidR="007122A3">
        <w:rPr>
          <w:rFonts w:ascii="Arial" w:hAnsi="Arial" w:hint="cs"/>
          <w:noProof w:val="0"/>
          <w:rtl/>
        </w:rPr>
        <w:t>מציין ש</w:t>
      </w:r>
      <w:r>
        <w:rPr>
          <w:rFonts w:ascii="Arial" w:hAnsi="Arial" w:hint="cs"/>
          <w:noProof w:val="0"/>
          <w:rtl/>
        </w:rPr>
        <w:t>המשיבה עם ילדיהם, הגיעה לארץ באפריל 2022</w:t>
      </w:r>
      <w:r w:rsidR="007122A3">
        <w:rPr>
          <w:rFonts w:ascii="Arial" w:hAnsi="Arial" w:hint="cs"/>
          <w:noProof w:val="0"/>
          <w:rtl/>
        </w:rPr>
        <w:t>, ללא ידיעתו.</w:t>
      </w:r>
    </w:p>
    <w:p w:rsidR="00694556" w:rsidRDefault="00694556">
      <w:pPr>
        <w:spacing w:line="360" w:lineRule="auto"/>
        <w:jc w:val="both"/>
        <w:rPr>
          <w:rFonts w:ascii="Arial" w:hAnsi="Arial"/>
          <w:noProof w:val="0"/>
          <w:rtl/>
        </w:rPr>
      </w:pPr>
    </w:p>
    <w:p w:rsidR="00BB4636" w:rsidRDefault="00BB4636" w:rsidP="00D9019F">
      <w:pPr>
        <w:spacing w:line="360" w:lineRule="auto"/>
        <w:jc w:val="both"/>
        <w:rPr>
          <w:rFonts w:ascii="Arial" w:hAnsi="Arial"/>
          <w:noProof w:val="0"/>
          <w:rtl/>
        </w:rPr>
      </w:pPr>
      <w:r>
        <w:rPr>
          <w:rFonts w:ascii="Arial" w:hAnsi="Arial" w:hint="cs"/>
          <w:noProof w:val="0"/>
          <w:rtl/>
        </w:rPr>
        <w:t>לנוכח כלל האמור טוען המבקש</w:t>
      </w:r>
      <w:r w:rsidR="007122A3">
        <w:rPr>
          <w:rFonts w:ascii="Arial" w:hAnsi="Arial" w:hint="cs"/>
          <w:noProof w:val="0"/>
          <w:rtl/>
        </w:rPr>
        <w:t>,</w:t>
      </w:r>
      <w:r>
        <w:rPr>
          <w:rFonts w:ascii="Arial" w:hAnsi="Arial" w:hint="cs"/>
          <w:noProof w:val="0"/>
          <w:rtl/>
        </w:rPr>
        <w:t xml:space="preserve"> כי אין לבית המשפט לענייני משפחה</w:t>
      </w:r>
      <w:r w:rsidR="00D9019F">
        <w:rPr>
          <w:rFonts w:ascii="Arial" w:hAnsi="Arial" w:hint="cs"/>
          <w:noProof w:val="0"/>
          <w:rtl/>
        </w:rPr>
        <w:t>,</w:t>
      </w:r>
      <w:r>
        <w:rPr>
          <w:rFonts w:ascii="Arial" w:hAnsi="Arial" w:hint="cs"/>
          <w:noProof w:val="0"/>
          <w:rtl/>
        </w:rPr>
        <w:t xml:space="preserve"> סמכות לדון בסוגיית המזונות של הילדים, וזאת בנוסף לכך </w:t>
      </w:r>
      <w:r w:rsidR="00D9019F">
        <w:rPr>
          <w:rFonts w:ascii="Arial" w:hAnsi="Arial" w:hint="cs"/>
          <w:noProof w:val="0"/>
          <w:rtl/>
        </w:rPr>
        <w:t>ש</w:t>
      </w:r>
      <w:r>
        <w:rPr>
          <w:rFonts w:ascii="Arial" w:hAnsi="Arial" w:hint="cs"/>
          <w:noProof w:val="0"/>
          <w:rtl/>
        </w:rPr>
        <w:t>הבקשה ליישוב סכסוך</w:t>
      </w:r>
      <w:r w:rsidR="00D9019F">
        <w:rPr>
          <w:rFonts w:ascii="Arial" w:hAnsi="Arial" w:hint="cs"/>
          <w:noProof w:val="0"/>
          <w:rtl/>
        </w:rPr>
        <w:t>,</w:t>
      </w:r>
      <w:r>
        <w:rPr>
          <w:rFonts w:ascii="Arial" w:hAnsi="Arial" w:hint="cs"/>
          <w:noProof w:val="0"/>
          <w:rtl/>
        </w:rPr>
        <w:t xml:space="preserve"> הו</w:t>
      </w:r>
      <w:r w:rsidR="00D9019F">
        <w:rPr>
          <w:rFonts w:ascii="Arial" w:hAnsi="Arial" w:hint="cs"/>
          <w:noProof w:val="0"/>
          <w:rtl/>
        </w:rPr>
        <w:t xml:space="preserve">גשה על ידי המשיבה, בחוסר תום לב, עת הוגשה ללא </w:t>
      </w:r>
      <w:r>
        <w:rPr>
          <w:rFonts w:ascii="Arial" w:hAnsi="Arial" w:hint="cs"/>
          <w:noProof w:val="0"/>
          <w:rtl/>
        </w:rPr>
        <w:t xml:space="preserve">רצון </w:t>
      </w:r>
      <w:r w:rsidR="00D9019F">
        <w:rPr>
          <w:rFonts w:ascii="Arial" w:hAnsi="Arial" w:hint="cs"/>
          <w:noProof w:val="0"/>
          <w:rtl/>
        </w:rPr>
        <w:t xml:space="preserve">אמיתי </w:t>
      </w:r>
      <w:r>
        <w:rPr>
          <w:rFonts w:ascii="Arial" w:hAnsi="Arial" w:hint="cs"/>
          <w:noProof w:val="0"/>
          <w:rtl/>
        </w:rPr>
        <w:t>ליישב הסכסוך בדרכי שלום ובהסכמה, אלא תוך נ</w:t>
      </w:r>
      <w:r w:rsidR="007122A3">
        <w:rPr>
          <w:rFonts w:ascii="Arial" w:hAnsi="Arial" w:hint="cs"/>
          <w:noProof w:val="0"/>
          <w:rtl/>
        </w:rPr>
        <w:t>י</w:t>
      </w:r>
      <w:r>
        <w:rPr>
          <w:rFonts w:ascii="Arial" w:hAnsi="Arial" w:hint="cs"/>
          <w:noProof w:val="0"/>
          <w:rtl/>
        </w:rPr>
        <w:t>סיון לעשות שימוש בהליכי המשפט, "לעקוף" סמכות, שלא כדין</w:t>
      </w:r>
      <w:r w:rsidR="007122A3">
        <w:rPr>
          <w:rFonts w:ascii="Arial" w:hAnsi="Arial" w:hint="cs"/>
          <w:noProof w:val="0"/>
          <w:rtl/>
        </w:rPr>
        <w:t xml:space="preserve"> </w:t>
      </w:r>
      <w:r>
        <w:rPr>
          <w:rFonts w:ascii="Arial" w:hAnsi="Arial" w:hint="cs"/>
          <w:noProof w:val="0"/>
          <w:rtl/>
        </w:rPr>
        <w:t xml:space="preserve">(המבקש מפנה בעניין זה לפסק דינו של בית המשפט העליון בבג"צ 5918/07 ו </w:t>
      </w:r>
      <w:r>
        <w:rPr>
          <w:rFonts w:ascii="Arial" w:hAnsi="Arial"/>
          <w:noProof w:val="0"/>
          <w:rtl/>
        </w:rPr>
        <w:t>–</w:t>
      </w:r>
      <w:r>
        <w:rPr>
          <w:rFonts w:ascii="Arial" w:hAnsi="Arial" w:hint="cs"/>
          <w:noProof w:val="0"/>
          <w:rtl/>
        </w:rPr>
        <w:t xml:space="preserve"> 6919/07 </w:t>
      </w:r>
      <w:r>
        <w:rPr>
          <w:rFonts w:ascii="Arial" w:hAnsi="Arial" w:hint="cs"/>
          <w:b/>
          <w:bCs/>
          <w:noProof w:val="0"/>
          <w:rtl/>
        </w:rPr>
        <w:t>פלונית נגד בית הדין הרבני</w:t>
      </w:r>
      <w:r>
        <w:rPr>
          <w:rFonts w:ascii="Arial" w:hAnsi="Arial" w:hint="cs"/>
          <w:noProof w:val="0"/>
          <w:rtl/>
        </w:rPr>
        <w:t>).</w:t>
      </w:r>
    </w:p>
    <w:p w:rsidR="00876606" w:rsidRDefault="00B43E51" w:rsidP="007122A3">
      <w:pPr>
        <w:spacing w:line="360" w:lineRule="auto"/>
        <w:jc w:val="both"/>
        <w:rPr>
          <w:rFonts w:ascii="Arial" w:hAnsi="Arial"/>
          <w:noProof w:val="0"/>
          <w:rtl/>
        </w:rPr>
      </w:pPr>
      <w:r>
        <w:rPr>
          <w:rFonts w:ascii="Arial" w:hAnsi="Arial" w:hint="cs"/>
          <w:noProof w:val="0"/>
          <w:rtl/>
        </w:rPr>
        <w:t xml:space="preserve">המבקש צרף לבקשתו אסמכתאות לביסוס דבריו, בין היתר תרגום כדין של החלטת בית הדין השרעי, </w:t>
      </w:r>
      <w:r w:rsidR="007122A3">
        <w:rPr>
          <w:rFonts w:ascii="Arial" w:hAnsi="Arial" w:hint="cs"/>
          <w:noProof w:val="0"/>
          <w:rtl/>
        </w:rPr>
        <w:t xml:space="preserve">בה, לכאורה, </w:t>
      </w:r>
      <w:r>
        <w:rPr>
          <w:rFonts w:ascii="Arial" w:hAnsi="Arial" w:hint="cs"/>
          <w:noProof w:val="0"/>
          <w:rtl/>
        </w:rPr>
        <w:t>נידונה שאלת המזונות</w:t>
      </w:r>
      <w:r w:rsidR="00876606">
        <w:rPr>
          <w:rFonts w:ascii="Arial" w:hAnsi="Arial" w:hint="cs"/>
          <w:noProof w:val="0"/>
          <w:rtl/>
        </w:rPr>
        <w:t>.</w:t>
      </w:r>
    </w:p>
    <w:p w:rsidR="00694556" w:rsidRPr="00DE1E7D" w:rsidRDefault="00694556">
      <w:pPr>
        <w:spacing w:line="360" w:lineRule="auto"/>
        <w:jc w:val="both"/>
        <w:rPr>
          <w:rFonts w:ascii="Arial" w:hAnsi="Arial"/>
          <w:noProof w:val="0"/>
          <w:rtl/>
        </w:rPr>
      </w:pPr>
    </w:p>
    <w:p w:rsidR="00694556" w:rsidRPr="002C0888" w:rsidRDefault="00AA2AB2" w:rsidP="00C67916">
      <w:pPr>
        <w:spacing w:line="360" w:lineRule="auto"/>
        <w:jc w:val="both"/>
        <w:rPr>
          <w:rFonts w:ascii="Arial" w:hAnsi="Arial"/>
          <w:b/>
          <w:bCs/>
          <w:noProof w:val="0"/>
          <w:rtl/>
        </w:rPr>
      </w:pPr>
      <w:r>
        <w:rPr>
          <w:rFonts w:ascii="Arial" w:hAnsi="Arial" w:hint="cs"/>
          <w:noProof w:val="0"/>
          <w:rtl/>
        </w:rPr>
        <w:t xml:space="preserve">לעניין בקשת המשיבה לפסוק המזונות, ביקש המבקש לדחותה, הן </w:t>
      </w:r>
      <w:r w:rsidR="00B630D5">
        <w:rPr>
          <w:rFonts w:ascii="Arial" w:hAnsi="Arial" w:hint="cs"/>
          <w:noProof w:val="0"/>
          <w:rtl/>
        </w:rPr>
        <w:t xml:space="preserve">מהטעמים </w:t>
      </w:r>
      <w:r>
        <w:rPr>
          <w:rFonts w:ascii="Arial" w:hAnsi="Arial" w:hint="cs"/>
          <w:noProof w:val="0"/>
          <w:rtl/>
        </w:rPr>
        <w:t>שפורטו לעיל והן מהטעמים שהמשיבה בעלת פוטנציאל השתכרות גבוה, מתגוררת בבית אביה</w:t>
      </w:r>
      <w:r w:rsidR="002C0888">
        <w:rPr>
          <w:rFonts w:ascii="Arial" w:hAnsi="Arial" w:hint="cs"/>
          <w:noProof w:val="0"/>
          <w:rtl/>
        </w:rPr>
        <w:t xml:space="preserve">, </w:t>
      </w:r>
      <w:r w:rsidR="00B630D5">
        <w:rPr>
          <w:rFonts w:ascii="Arial" w:hAnsi="Arial" w:hint="cs"/>
          <w:noProof w:val="0"/>
          <w:rtl/>
        </w:rPr>
        <w:t xml:space="preserve">הוא אדם </w:t>
      </w:r>
      <w:r w:rsidR="002C0888">
        <w:rPr>
          <w:rFonts w:ascii="Arial" w:hAnsi="Arial" w:hint="cs"/>
          <w:noProof w:val="0"/>
          <w:rtl/>
        </w:rPr>
        <w:t>עשיר ומוכר בקהילה,</w:t>
      </w:r>
      <w:r>
        <w:rPr>
          <w:rFonts w:ascii="Arial" w:hAnsi="Arial" w:hint="cs"/>
          <w:noProof w:val="0"/>
          <w:rtl/>
        </w:rPr>
        <w:t xml:space="preserve"> ש"מוליך" אותה וקובע עבורה</w:t>
      </w:r>
      <w:r w:rsidR="00B630D5">
        <w:rPr>
          <w:rFonts w:ascii="Arial" w:hAnsi="Arial" w:hint="cs"/>
          <w:noProof w:val="0"/>
          <w:rtl/>
        </w:rPr>
        <w:t xml:space="preserve"> אופן התנהלותה. כן הוסיף ש</w:t>
      </w:r>
      <w:r>
        <w:rPr>
          <w:rFonts w:ascii="Arial" w:hAnsi="Arial" w:hint="cs"/>
          <w:noProof w:val="0"/>
          <w:rtl/>
        </w:rPr>
        <w:t>ילדי הצדדים מתבגרים, עצמאיים שהוסתו כנגד המבקש, ומנוכרים לו מזה כעשר שנים, מתוכם שמונה שנים התגוררו בג</w:t>
      </w:r>
      <w:r w:rsidR="00C67916">
        <w:rPr>
          <w:rFonts w:ascii="Arial" w:hAnsi="Arial" w:hint="cs"/>
          <w:noProof w:val="0"/>
          <w:rtl/>
        </w:rPr>
        <w:t>.</w:t>
      </w:r>
      <w:r>
        <w:rPr>
          <w:rFonts w:ascii="Arial" w:hAnsi="Arial" w:hint="cs"/>
          <w:noProof w:val="0"/>
          <w:rtl/>
        </w:rPr>
        <w:t>.</w:t>
      </w:r>
      <w:r w:rsidR="002C0888">
        <w:rPr>
          <w:rFonts w:ascii="Arial" w:hAnsi="Arial" w:hint="cs"/>
          <w:noProof w:val="0"/>
          <w:rtl/>
        </w:rPr>
        <w:t xml:space="preserve"> לדבריו עסקינן בילדים מורדים וסוגיה זו נידונה בפני בית הדין השרעי ולכן יש לקבוע כי עסקינן בסמכות נמשכת בשל היות הסוגיות בעלות אופי מתמשך (מפנה לבג"צ 2898/03 </w:t>
      </w:r>
      <w:r w:rsidR="002C0888">
        <w:rPr>
          <w:rFonts w:ascii="Arial" w:hAnsi="Arial" w:hint="cs"/>
          <w:b/>
          <w:bCs/>
          <w:noProof w:val="0"/>
          <w:rtl/>
        </w:rPr>
        <w:t>פלונית נגד בית הדין הרבני הגדול).</w:t>
      </w:r>
    </w:p>
    <w:p w:rsidR="00AA2AB2" w:rsidRDefault="00AA2AB2" w:rsidP="00AA2AB2">
      <w:pPr>
        <w:spacing w:line="360" w:lineRule="auto"/>
        <w:jc w:val="both"/>
        <w:rPr>
          <w:rFonts w:ascii="Arial" w:hAnsi="Arial"/>
          <w:noProof w:val="0"/>
          <w:rtl/>
        </w:rPr>
      </w:pPr>
    </w:p>
    <w:p w:rsidR="00AA2AB2" w:rsidRDefault="00AA2AB2" w:rsidP="00C67916">
      <w:pPr>
        <w:spacing w:line="360" w:lineRule="auto"/>
        <w:jc w:val="both"/>
        <w:rPr>
          <w:rFonts w:ascii="Arial" w:hAnsi="Arial"/>
          <w:noProof w:val="0"/>
          <w:rtl/>
        </w:rPr>
      </w:pPr>
      <w:r>
        <w:rPr>
          <w:rFonts w:ascii="Arial" w:hAnsi="Arial" w:hint="cs"/>
          <w:noProof w:val="0"/>
          <w:rtl/>
        </w:rPr>
        <w:t xml:space="preserve">כן הוסיף שהוא בעצמו מתגורר בבית הוריו עם משפחתו ועובד בבית חולים </w:t>
      </w:r>
      <w:r w:rsidR="00C67916">
        <w:rPr>
          <w:rFonts w:ascii="Arial" w:hAnsi="Arial" w:hint="cs"/>
          <w:noProof w:val="0"/>
          <w:rtl/>
        </w:rPr>
        <w:t>א.</w:t>
      </w:r>
      <w:r>
        <w:rPr>
          <w:rFonts w:ascii="Arial" w:hAnsi="Arial" w:hint="cs"/>
          <w:noProof w:val="0"/>
          <w:rtl/>
        </w:rPr>
        <w:t xml:space="preserve"> בא</w:t>
      </w:r>
      <w:r w:rsidR="00C67916">
        <w:rPr>
          <w:rFonts w:ascii="Arial" w:hAnsi="Arial" w:hint="cs"/>
          <w:noProof w:val="0"/>
          <w:rtl/>
        </w:rPr>
        <w:t>.</w:t>
      </w:r>
      <w:r>
        <w:rPr>
          <w:rFonts w:ascii="Arial" w:hAnsi="Arial" w:hint="cs"/>
          <w:noProof w:val="0"/>
          <w:rtl/>
        </w:rPr>
        <w:t>.</w:t>
      </w:r>
    </w:p>
    <w:p w:rsidR="00AA2AB2" w:rsidRDefault="00AA2AB2" w:rsidP="00AA2AB2">
      <w:pPr>
        <w:spacing w:line="360" w:lineRule="auto"/>
        <w:jc w:val="both"/>
        <w:rPr>
          <w:rFonts w:ascii="Arial" w:hAnsi="Arial"/>
          <w:noProof w:val="0"/>
          <w:rtl/>
        </w:rPr>
      </w:pPr>
    </w:p>
    <w:p w:rsidR="00AA2AB2" w:rsidRDefault="002C0888" w:rsidP="00AA2AB2">
      <w:pPr>
        <w:spacing w:line="360" w:lineRule="auto"/>
        <w:jc w:val="both"/>
        <w:rPr>
          <w:rFonts w:ascii="Arial" w:hAnsi="Arial"/>
          <w:noProof w:val="0"/>
          <w:rtl/>
        </w:rPr>
      </w:pPr>
      <w:r>
        <w:rPr>
          <w:rFonts w:ascii="Arial" w:hAnsi="Arial" w:hint="cs"/>
          <w:noProof w:val="0"/>
          <w:rtl/>
        </w:rPr>
        <w:lastRenderedPageBreak/>
        <w:t xml:space="preserve">לדבריו המשיבה קיבלה מזונות משלטונות גרמניה </w:t>
      </w:r>
      <w:r w:rsidR="001C7DB6">
        <w:rPr>
          <w:rFonts w:ascii="Arial" w:hAnsi="Arial" w:hint="cs"/>
          <w:noProof w:val="0"/>
          <w:rtl/>
        </w:rPr>
        <w:t xml:space="preserve">וכיום </w:t>
      </w:r>
      <w:r w:rsidR="006D6691">
        <w:rPr>
          <w:rFonts w:ascii="Arial" w:hAnsi="Arial" w:hint="cs"/>
          <w:noProof w:val="0"/>
          <w:rtl/>
        </w:rPr>
        <w:t>אין מדובר בילדים נזקקים או רעבים ועל פי הדין השרעי אין חובה אבסולוטית, על האב, לזון אותם.</w:t>
      </w:r>
    </w:p>
    <w:p w:rsidR="006D6691" w:rsidRDefault="006D6691" w:rsidP="00AA2AB2">
      <w:pPr>
        <w:spacing w:line="360" w:lineRule="auto"/>
        <w:jc w:val="both"/>
        <w:rPr>
          <w:rFonts w:ascii="Arial" w:hAnsi="Arial"/>
          <w:noProof w:val="0"/>
          <w:rtl/>
        </w:rPr>
      </w:pPr>
    </w:p>
    <w:p w:rsidR="006D6691" w:rsidRDefault="006D6691" w:rsidP="00B630D5">
      <w:pPr>
        <w:spacing w:line="360" w:lineRule="auto"/>
        <w:jc w:val="both"/>
        <w:rPr>
          <w:rFonts w:ascii="Arial" w:hAnsi="Arial"/>
          <w:noProof w:val="0"/>
          <w:rtl/>
        </w:rPr>
      </w:pPr>
      <w:r>
        <w:rPr>
          <w:rFonts w:ascii="Arial" w:hAnsi="Arial" w:hint="cs"/>
          <w:noProof w:val="0"/>
          <w:rtl/>
        </w:rPr>
        <w:t>המשיבה בתגובתה</w:t>
      </w:r>
      <w:r w:rsidR="00AB3759">
        <w:rPr>
          <w:rFonts w:ascii="Arial" w:hAnsi="Arial" w:hint="cs"/>
          <w:noProof w:val="0"/>
          <w:rtl/>
        </w:rPr>
        <w:t xml:space="preserve"> הראשונה</w:t>
      </w:r>
      <w:r>
        <w:rPr>
          <w:rFonts w:ascii="Arial" w:hAnsi="Arial" w:hint="cs"/>
          <w:noProof w:val="0"/>
          <w:rtl/>
        </w:rPr>
        <w:t>, ציינה, תחילה, כי תמסור תגובתה "לנקודות הרלוונטיות להן היא מוצאת צורך". לדבריה שאלת מזונות הקטינים "לא נידונה בשום ערכאה"</w:t>
      </w:r>
      <w:r w:rsidR="00AB3759">
        <w:rPr>
          <w:rFonts w:ascii="Arial" w:hAnsi="Arial" w:hint="cs"/>
          <w:noProof w:val="0"/>
          <w:rtl/>
        </w:rPr>
        <w:t xml:space="preserve"> וכזו גם לא תלויה ועומדת </w:t>
      </w:r>
      <w:r w:rsidR="00B630D5">
        <w:rPr>
          <w:rFonts w:ascii="Arial" w:hAnsi="Arial" w:hint="cs"/>
          <w:noProof w:val="0"/>
          <w:rtl/>
        </w:rPr>
        <w:t xml:space="preserve">בפני בית הדין השרעי </w:t>
      </w:r>
      <w:r w:rsidR="00AB3759">
        <w:rPr>
          <w:rFonts w:ascii="Arial" w:hAnsi="Arial" w:hint="cs"/>
          <w:noProof w:val="0"/>
          <w:rtl/>
        </w:rPr>
        <w:t>ולכן בית הדין לא "קנה" סמכות</w:t>
      </w:r>
      <w:r w:rsidR="00B630D5">
        <w:rPr>
          <w:rFonts w:ascii="Arial" w:hAnsi="Arial" w:hint="cs"/>
          <w:noProof w:val="0"/>
          <w:rtl/>
        </w:rPr>
        <w:t xml:space="preserve"> בסוגיה זו</w:t>
      </w:r>
      <w:r>
        <w:rPr>
          <w:rFonts w:ascii="Arial" w:hAnsi="Arial" w:hint="cs"/>
          <w:noProof w:val="0"/>
          <w:rtl/>
        </w:rPr>
        <w:t xml:space="preserve">. </w:t>
      </w:r>
      <w:r w:rsidR="00AB3759">
        <w:rPr>
          <w:rFonts w:ascii="Arial" w:hAnsi="Arial" w:hint="cs"/>
          <w:noProof w:val="0"/>
          <w:rtl/>
        </w:rPr>
        <w:t>כן טענה</w:t>
      </w:r>
      <w:r w:rsidR="00B630D5">
        <w:rPr>
          <w:rFonts w:ascii="Arial" w:hAnsi="Arial" w:hint="cs"/>
          <w:noProof w:val="0"/>
          <w:rtl/>
        </w:rPr>
        <w:t>,</w:t>
      </w:r>
      <w:r w:rsidR="00AB3759">
        <w:rPr>
          <w:rFonts w:ascii="Arial" w:hAnsi="Arial" w:hint="cs"/>
          <w:noProof w:val="0"/>
          <w:rtl/>
        </w:rPr>
        <w:t xml:space="preserve"> כי </w:t>
      </w:r>
      <w:r>
        <w:rPr>
          <w:rFonts w:ascii="Arial" w:hAnsi="Arial" w:hint="cs"/>
          <w:noProof w:val="0"/>
          <w:rtl/>
        </w:rPr>
        <w:t>הקטינים סובלים מחרפת רעב, עת המבקש לא שילם ואינו משלם מ</w:t>
      </w:r>
      <w:r w:rsidR="00AB3759">
        <w:rPr>
          <w:rFonts w:ascii="Arial" w:hAnsi="Arial" w:hint="cs"/>
          <w:noProof w:val="0"/>
          <w:rtl/>
        </w:rPr>
        <w:t>זונותיהם, מאז נפרדו הצדדים, כאשר המבקש עשה כל שניתן על מנת להרחיקם ממנו.</w:t>
      </w:r>
    </w:p>
    <w:p w:rsidR="00B630D5" w:rsidRDefault="00B630D5" w:rsidP="00AB3759">
      <w:pPr>
        <w:spacing w:line="360" w:lineRule="auto"/>
        <w:jc w:val="both"/>
        <w:rPr>
          <w:rFonts w:ascii="Arial" w:hAnsi="Arial"/>
          <w:noProof w:val="0"/>
          <w:rtl/>
        </w:rPr>
      </w:pPr>
    </w:p>
    <w:p w:rsidR="00AB3759" w:rsidRDefault="00AB3759" w:rsidP="00AB3759">
      <w:pPr>
        <w:spacing w:line="360" w:lineRule="auto"/>
        <w:jc w:val="both"/>
        <w:rPr>
          <w:rFonts w:ascii="Arial" w:hAnsi="Arial"/>
          <w:noProof w:val="0"/>
          <w:rtl/>
        </w:rPr>
      </w:pPr>
      <w:r>
        <w:rPr>
          <w:rFonts w:ascii="Arial" w:hAnsi="Arial" w:hint="cs"/>
          <w:noProof w:val="0"/>
          <w:rtl/>
        </w:rPr>
        <w:t xml:space="preserve">תגובתה </w:t>
      </w:r>
      <w:r w:rsidR="00B630D5">
        <w:rPr>
          <w:rFonts w:ascii="Arial" w:hAnsi="Arial" w:hint="cs"/>
          <w:noProof w:val="0"/>
          <w:rtl/>
        </w:rPr>
        <w:t xml:space="preserve">של המשיבה </w:t>
      </w:r>
      <w:r>
        <w:rPr>
          <w:rFonts w:ascii="Arial" w:hAnsi="Arial" w:hint="cs"/>
          <w:noProof w:val="0"/>
          <w:rtl/>
        </w:rPr>
        <w:t>הוגשה ללא תצהיר תומך.</w:t>
      </w:r>
    </w:p>
    <w:p w:rsidR="007122A3" w:rsidRDefault="007122A3" w:rsidP="00AB3759">
      <w:pPr>
        <w:spacing w:line="360" w:lineRule="auto"/>
        <w:jc w:val="both"/>
        <w:rPr>
          <w:rFonts w:ascii="Arial" w:hAnsi="Arial"/>
          <w:noProof w:val="0"/>
          <w:rtl/>
        </w:rPr>
      </w:pPr>
    </w:p>
    <w:p w:rsidR="00AB3759" w:rsidRDefault="00AB3759" w:rsidP="00AB3759">
      <w:pPr>
        <w:spacing w:line="360" w:lineRule="auto"/>
        <w:jc w:val="both"/>
        <w:rPr>
          <w:rFonts w:ascii="Arial" w:hAnsi="Arial"/>
          <w:noProof w:val="0"/>
          <w:rtl/>
        </w:rPr>
      </w:pPr>
      <w:r>
        <w:rPr>
          <w:rFonts w:ascii="Arial" w:hAnsi="Arial" w:hint="cs"/>
          <w:noProof w:val="0"/>
          <w:rtl/>
        </w:rPr>
        <w:t>בהחלטה מיום 18.08.24, נדרשה המשיבה להתייחס להחלטת בית הדין השרעי משנת 2015, באופן פרטני, הגם שבחרה שלא למסור תגובתה לחלק מטענותיו של המבקש, כפי הודעתה.</w:t>
      </w:r>
    </w:p>
    <w:p w:rsidR="007122A3" w:rsidRDefault="007122A3" w:rsidP="00494B0A">
      <w:pPr>
        <w:spacing w:line="360" w:lineRule="auto"/>
        <w:jc w:val="both"/>
        <w:rPr>
          <w:rFonts w:ascii="Arial" w:hAnsi="Arial"/>
          <w:noProof w:val="0"/>
          <w:rtl/>
        </w:rPr>
      </w:pPr>
    </w:p>
    <w:p w:rsidR="00494B0A" w:rsidRDefault="00AB3759" w:rsidP="00C67916">
      <w:pPr>
        <w:spacing w:line="360" w:lineRule="auto"/>
        <w:jc w:val="both"/>
        <w:rPr>
          <w:rFonts w:ascii="Arial" w:hAnsi="Arial"/>
          <w:noProof w:val="0"/>
          <w:rtl/>
        </w:rPr>
      </w:pPr>
      <w:r>
        <w:rPr>
          <w:rFonts w:ascii="Arial" w:hAnsi="Arial" w:hint="cs"/>
          <w:noProof w:val="0"/>
          <w:rtl/>
        </w:rPr>
        <w:t>בתגובה הנוספת שהוגשה, אף היא ללא תצהי</w:t>
      </w:r>
      <w:r w:rsidR="00494B0A">
        <w:rPr>
          <w:rFonts w:ascii="Arial" w:hAnsi="Arial" w:hint="cs"/>
          <w:noProof w:val="0"/>
          <w:rtl/>
        </w:rPr>
        <w:t>ר</w:t>
      </w:r>
      <w:r>
        <w:rPr>
          <w:rFonts w:ascii="Arial" w:hAnsi="Arial" w:hint="cs"/>
          <w:noProof w:val="0"/>
          <w:rtl/>
        </w:rPr>
        <w:t xml:space="preserve"> תומך, טענה</w:t>
      </w:r>
      <w:r w:rsidR="00B630D5">
        <w:rPr>
          <w:rFonts w:ascii="Arial" w:hAnsi="Arial" w:hint="cs"/>
          <w:noProof w:val="0"/>
          <w:rtl/>
        </w:rPr>
        <w:t>,</w:t>
      </w:r>
      <w:r>
        <w:rPr>
          <w:rFonts w:ascii="Arial" w:hAnsi="Arial" w:hint="cs"/>
          <w:noProof w:val="0"/>
          <w:rtl/>
        </w:rPr>
        <w:t xml:space="preserve"> כי </w:t>
      </w:r>
      <w:r w:rsidR="00494B0A">
        <w:rPr>
          <w:rFonts w:ascii="Arial" w:hAnsi="Arial" w:hint="cs"/>
          <w:noProof w:val="0"/>
          <w:rtl/>
        </w:rPr>
        <w:t>עסקינן בהחלטה שעניינה מזונות אישה, כאשר, לדבריה "במהלך הדיון ובדרך אגב, הועלתה טענה כי המשיב אינו משלם מזונות אף לילדיו הקטינים...". לדבריה הסתמך המבקש על הקצבה שקיבלו הילדים מג</w:t>
      </w:r>
      <w:r w:rsidR="00C67916">
        <w:rPr>
          <w:rFonts w:ascii="Arial" w:hAnsi="Arial" w:hint="cs"/>
          <w:noProof w:val="0"/>
          <w:rtl/>
        </w:rPr>
        <w:t>.</w:t>
      </w:r>
      <w:r w:rsidR="00494B0A">
        <w:rPr>
          <w:rFonts w:ascii="Arial" w:hAnsi="Arial" w:hint="cs"/>
          <w:noProof w:val="0"/>
          <w:rtl/>
        </w:rPr>
        <w:t>, קצבה שתשלומה הופסק עת עזבה המשיבה את ג</w:t>
      </w:r>
      <w:r w:rsidR="00C67916">
        <w:rPr>
          <w:rFonts w:ascii="Arial" w:hAnsi="Arial" w:hint="cs"/>
          <w:noProof w:val="0"/>
          <w:rtl/>
        </w:rPr>
        <w:t>.</w:t>
      </w:r>
      <w:r w:rsidR="00494B0A">
        <w:rPr>
          <w:rFonts w:ascii="Arial" w:hAnsi="Arial" w:hint="cs"/>
          <w:noProof w:val="0"/>
          <w:rtl/>
        </w:rPr>
        <w:t>.</w:t>
      </w:r>
    </w:p>
    <w:p w:rsidR="00494B0A" w:rsidRDefault="00494B0A" w:rsidP="00494B0A">
      <w:pPr>
        <w:spacing w:line="360" w:lineRule="auto"/>
        <w:jc w:val="both"/>
        <w:rPr>
          <w:rFonts w:ascii="Arial" w:hAnsi="Arial"/>
          <w:noProof w:val="0"/>
          <w:rtl/>
        </w:rPr>
      </w:pPr>
      <w:r>
        <w:rPr>
          <w:rFonts w:ascii="Arial" w:hAnsi="Arial" w:hint="cs"/>
          <w:noProof w:val="0"/>
          <w:rtl/>
        </w:rPr>
        <w:t>המשיבה כאן טענה</w:t>
      </w:r>
      <w:r w:rsidR="00B630D5">
        <w:rPr>
          <w:rFonts w:ascii="Arial" w:hAnsi="Arial" w:hint="cs"/>
          <w:noProof w:val="0"/>
          <w:rtl/>
        </w:rPr>
        <w:t>,</w:t>
      </w:r>
      <w:r>
        <w:rPr>
          <w:rFonts w:ascii="Arial" w:hAnsi="Arial" w:hint="cs"/>
          <w:noProof w:val="0"/>
          <w:rtl/>
        </w:rPr>
        <w:t xml:space="preserve"> כי "מעולם לא התבררה סוגיית מזונות הילדים לעומק כנדרש ע"פ התקנות".</w:t>
      </w:r>
    </w:p>
    <w:p w:rsidR="007122A3" w:rsidRDefault="007122A3" w:rsidP="00494B0A">
      <w:pPr>
        <w:spacing w:line="360" w:lineRule="auto"/>
        <w:jc w:val="both"/>
        <w:rPr>
          <w:rFonts w:ascii="Arial" w:hAnsi="Arial"/>
          <w:noProof w:val="0"/>
          <w:rtl/>
        </w:rPr>
      </w:pPr>
    </w:p>
    <w:p w:rsidR="00494B0A" w:rsidRDefault="00FA4729" w:rsidP="00494B0A">
      <w:pPr>
        <w:spacing w:line="360" w:lineRule="auto"/>
        <w:jc w:val="both"/>
        <w:rPr>
          <w:rFonts w:ascii="Arial" w:hAnsi="Arial"/>
          <w:noProof w:val="0"/>
          <w:rtl/>
        </w:rPr>
      </w:pPr>
      <w:r>
        <w:rPr>
          <w:rFonts w:ascii="Arial" w:hAnsi="Arial" w:hint="cs"/>
          <w:noProof w:val="0"/>
          <w:rtl/>
        </w:rPr>
        <w:lastRenderedPageBreak/>
        <w:t>המשיבה לא הגישה עותק מכתב התביעה, כתב טענות כלשהו שהוגש לבית הדין השרעי, או הפרוטוקול של הדיון, כאשר הוא</w:t>
      </w:r>
      <w:r w:rsidR="00876606">
        <w:rPr>
          <w:rFonts w:ascii="Arial" w:hAnsi="Arial" w:hint="cs"/>
          <w:noProof w:val="0"/>
          <w:rtl/>
        </w:rPr>
        <w:t xml:space="preserve"> מתורגם כדין, עת</w:t>
      </w:r>
      <w:r w:rsidR="00B630D5">
        <w:rPr>
          <w:rFonts w:ascii="Arial" w:hAnsi="Arial" w:hint="cs"/>
          <w:noProof w:val="0"/>
          <w:rtl/>
        </w:rPr>
        <w:t>, כאמור,</w:t>
      </w:r>
      <w:r w:rsidR="00876606">
        <w:rPr>
          <w:rFonts w:ascii="Arial" w:hAnsi="Arial" w:hint="cs"/>
          <w:noProof w:val="0"/>
          <w:rtl/>
        </w:rPr>
        <w:t xml:space="preserve"> המבקש הגיש את ההחלטה.</w:t>
      </w:r>
    </w:p>
    <w:p w:rsidR="006D6691" w:rsidRDefault="006D6691" w:rsidP="00AA2AB2">
      <w:pPr>
        <w:spacing w:line="360" w:lineRule="auto"/>
        <w:jc w:val="both"/>
        <w:rPr>
          <w:rFonts w:ascii="Arial" w:hAnsi="Arial"/>
          <w:noProof w:val="0"/>
          <w:rtl/>
        </w:rPr>
      </w:pPr>
    </w:p>
    <w:p w:rsidR="00876606" w:rsidRDefault="00B630D5" w:rsidP="00EF55ED">
      <w:pPr>
        <w:spacing w:line="360" w:lineRule="auto"/>
        <w:jc w:val="both"/>
        <w:rPr>
          <w:rFonts w:ascii="Arial" w:hAnsi="Arial"/>
          <w:noProof w:val="0"/>
          <w:rtl/>
        </w:rPr>
      </w:pPr>
      <w:r>
        <w:rPr>
          <w:rFonts w:ascii="Arial" w:hAnsi="Arial" w:hint="cs"/>
          <w:noProof w:val="0"/>
          <w:rtl/>
        </w:rPr>
        <w:t xml:space="preserve">כאמור, </w:t>
      </w:r>
      <w:r w:rsidR="00876606">
        <w:rPr>
          <w:rFonts w:ascii="Arial" w:hAnsi="Arial" w:hint="cs"/>
          <w:noProof w:val="0"/>
          <w:rtl/>
        </w:rPr>
        <w:t xml:space="preserve">המשיבה ביקשה להשיב </w:t>
      </w:r>
      <w:r w:rsidR="00EF55ED">
        <w:rPr>
          <w:rFonts w:ascii="Arial" w:hAnsi="Arial" w:hint="cs"/>
          <w:noProof w:val="0"/>
          <w:rtl/>
        </w:rPr>
        <w:t xml:space="preserve">אך </w:t>
      </w:r>
      <w:r w:rsidR="00876606">
        <w:rPr>
          <w:rFonts w:ascii="Arial" w:hAnsi="Arial" w:hint="cs"/>
          <w:noProof w:val="0"/>
          <w:rtl/>
        </w:rPr>
        <w:t>לחלק מטענותיו של המבקש והגם שנדרשה באופן פרטני להתייחס להחלטה משנת 2015, עשתה כן ללא תימוכין.</w:t>
      </w:r>
    </w:p>
    <w:p w:rsidR="00DE21C8" w:rsidRDefault="00DE21C8" w:rsidP="00AA2AB2">
      <w:pPr>
        <w:spacing w:line="360" w:lineRule="auto"/>
        <w:jc w:val="both"/>
        <w:rPr>
          <w:rFonts w:ascii="Arial" w:hAnsi="Arial"/>
          <w:noProof w:val="0"/>
          <w:rtl/>
        </w:rPr>
      </w:pPr>
    </w:p>
    <w:p w:rsidR="00DE21C8" w:rsidRPr="00DE21C8" w:rsidRDefault="00DE21C8" w:rsidP="00DE21C8">
      <w:pPr>
        <w:spacing w:line="360" w:lineRule="auto"/>
        <w:jc w:val="both"/>
        <w:rPr>
          <w:rFonts w:ascii="David" w:hAnsi="David"/>
          <w:b/>
          <w:bCs/>
          <w:noProof w:val="0"/>
          <w:u w:val="single"/>
          <w:rtl/>
        </w:rPr>
      </w:pPr>
      <w:r w:rsidRPr="00DE21C8">
        <w:rPr>
          <w:rFonts w:ascii="David" w:hAnsi="David"/>
          <w:b/>
          <w:bCs/>
          <w:noProof w:val="0"/>
          <w:u w:val="single"/>
          <w:rtl/>
        </w:rPr>
        <w:t>הכרעה</w:t>
      </w:r>
    </w:p>
    <w:p w:rsidR="00876606" w:rsidRPr="00DE21C8" w:rsidRDefault="00876606" w:rsidP="00DE21C8">
      <w:pPr>
        <w:spacing w:line="360" w:lineRule="auto"/>
        <w:jc w:val="both"/>
        <w:rPr>
          <w:rFonts w:ascii="David" w:hAnsi="David"/>
          <w:noProof w:val="0"/>
          <w:rtl/>
        </w:rPr>
      </w:pPr>
    </w:p>
    <w:p w:rsidR="00EC5CCE" w:rsidRDefault="00DE21C8" w:rsidP="00EC5CCE">
      <w:pPr>
        <w:pStyle w:val="NormalWeb"/>
        <w:shd w:val="clear" w:color="auto" w:fill="FFFFFF"/>
        <w:bidi/>
        <w:spacing w:before="180" w:beforeAutospacing="0" w:after="180" w:afterAutospacing="0" w:line="360" w:lineRule="auto"/>
        <w:jc w:val="both"/>
        <w:rPr>
          <w:rFonts w:ascii="David" w:hAnsi="David" w:cs="David"/>
          <w:color w:val="000000"/>
          <w:rtl/>
        </w:rPr>
      </w:pPr>
      <w:r w:rsidRPr="00DE21C8">
        <w:rPr>
          <w:rFonts w:ascii="David" w:hAnsi="David" w:cs="David"/>
          <w:color w:val="000000"/>
          <w:rtl/>
        </w:rPr>
        <w:t xml:space="preserve">בעלי הדין </w:t>
      </w:r>
      <w:r w:rsidR="00A45ED9">
        <w:rPr>
          <w:rFonts w:ascii="David" w:hAnsi="David" w:cs="David" w:hint="cs"/>
          <w:color w:val="000000"/>
          <w:rtl/>
        </w:rPr>
        <w:t xml:space="preserve">בעניינינו, </w:t>
      </w:r>
      <w:r w:rsidR="00A45ED9">
        <w:rPr>
          <w:rFonts w:ascii="David" w:hAnsi="David" w:cs="David"/>
          <w:color w:val="000000"/>
          <w:rtl/>
        </w:rPr>
        <w:t>משתייכים</w:t>
      </w:r>
      <w:r w:rsidR="00A45ED9">
        <w:rPr>
          <w:rFonts w:ascii="David" w:hAnsi="David" w:cs="David" w:hint="cs"/>
          <w:color w:val="000000"/>
          <w:rtl/>
        </w:rPr>
        <w:t xml:space="preserve"> </w:t>
      </w:r>
      <w:r w:rsidRPr="00DE21C8">
        <w:rPr>
          <w:rFonts w:ascii="David" w:hAnsi="David" w:cs="David"/>
          <w:color w:val="000000"/>
          <w:rtl/>
        </w:rPr>
        <w:t>לעדה המוסלמית</w:t>
      </w:r>
      <w:r w:rsidR="00A45ED9">
        <w:rPr>
          <w:rFonts w:ascii="David" w:hAnsi="David" w:cs="David" w:hint="cs"/>
          <w:color w:val="000000"/>
          <w:rtl/>
        </w:rPr>
        <w:t xml:space="preserve">, כאשר בעניינים רבים לדין הדתי של אותה עדה, יש סמכות שיפוט וזאת כפי </w:t>
      </w:r>
      <w:r w:rsidR="00A45ED9" w:rsidRPr="00DE21C8">
        <w:rPr>
          <w:rFonts w:ascii="David" w:hAnsi="David" w:cs="David"/>
          <w:color w:val="000000"/>
          <w:rtl/>
        </w:rPr>
        <w:t>סימן 52 לדבר המלך במועצה</w:t>
      </w:r>
      <w:r w:rsidR="00EC5CCE">
        <w:rPr>
          <w:rFonts w:ascii="David" w:hAnsi="David" w:cs="David" w:hint="cs"/>
          <w:color w:val="000000"/>
          <w:rtl/>
        </w:rPr>
        <w:t>, הקובע ה</w:t>
      </w:r>
      <w:r w:rsidRPr="00DE21C8">
        <w:rPr>
          <w:rFonts w:ascii="David" w:hAnsi="David" w:cs="David"/>
          <w:color w:val="000000"/>
          <w:rtl/>
        </w:rPr>
        <w:t>מקור לסמכותם של בתי הדין השרעיים לדון בתביעות בענייני מזונות, משמורת והחזקת ילדים</w:t>
      </w:r>
      <w:r w:rsidR="00EC5CCE">
        <w:rPr>
          <w:rFonts w:ascii="David" w:hAnsi="David" w:cs="David" w:hint="cs"/>
          <w:color w:val="000000"/>
          <w:rtl/>
        </w:rPr>
        <w:t>.</w:t>
      </w:r>
    </w:p>
    <w:p w:rsidR="00BF594C" w:rsidRDefault="00DE21C8" w:rsidP="00DB4FB5">
      <w:pPr>
        <w:pStyle w:val="NormalWeb"/>
        <w:shd w:val="clear" w:color="auto" w:fill="FFFFFF"/>
        <w:bidi/>
        <w:spacing w:before="180" w:beforeAutospacing="0" w:after="180" w:afterAutospacing="0" w:line="360" w:lineRule="auto"/>
        <w:jc w:val="both"/>
        <w:rPr>
          <w:rFonts w:ascii="David" w:hAnsi="David" w:cs="David"/>
          <w:color w:val="000000"/>
          <w:rtl/>
        </w:rPr>
      </w:pPr>
      <w:r w:rsidRPr="00DE21C8">
        <w:rPr>
          <w:rFonts w:ascii="David" w:hAnsi="David" w:cs="David"/>
          <w:color w:val="000000"/>
          <w:rtl/>
        </w:rPr>
        <w:t>עד שנת 2001 היו ענייני המעמד האישי של מתדיינים מוסלמים</w:t>
      </w:r>
      <w:r w:rsidR="00EC5CCE">
        <w:rPr>
          <w:rFonts w:ascii="David" w:hAnsi="David" w:cs="David" w:hint="cs"/>
          <w:color w:val="000000"/>
          <w:rtl/>
        </w:rPr>
        <w:t xml:space="preserve">, </w:t>
      </w:r>
      <w:r w:rsidRPr="00DE21C8">
        <w:rPr>
          <w:rFonts w:ascii="David" w:hAnsi="David" w:cs="David"/>
          <w:color w:val="000000"/>
          <w:rtl/>
        </w:rPr>
        <w:t>בסמכותם הייחודית של בתי הדין השרעיים. אולם בתיקון מס' 5 לח</w:t>
      </w:r>
      <w:r w:rsidR="00EC5CCE">
        <w:rPr>
          <w:rFonts w:ascii="David" w:hAnsi="David" w:cs="David"/>
          <w:color w:val="000000"/>
          <w:rtl/>
        </w:rPr>
        <w:t>וק בתי המשפט למשפחה, תשנ"ה-1995</w:t>
      </w:r>
      <w:r w:rsidR="00EC5CCE">
        <w:rPr>
          <w:rFonts w:ascii="David" w:hAnsi="David" w:cs="David" w:hint="cs"/>
          <w:color w:val="000000"/>
          <w:rtl/>
        </w:rPr>
        <w:t xml:space="preserve">, </w:t>
      </w:r>
      <w:r w:rsidR="001263B1">
        <w:rPr>
          <w:rFonts w:ascii="David" w:hAnsi="David" w:cs="David" w:hint="cs"/>
          <w:color w:val="000000"/>
          <w:rtl/>
        </w:rPr>
        <w:t xml:space="preserve">משנת 2001 </w:t>
      </w:r>
      <w:r w:rsidRPr="00DE21C8">
        <w:rPr>
          <w:rFonts w:ascii="David" w:hAnsi="David" w:cs="David"/>
          <w:color w:val="000000"/>
          <w:rtl/>
        </w:rPr>
        <w:t>הוענקה לבתי המשפט לענייני משפחה </w:t>
      </w:r>
      <w:r w:rsidRPr="00DE21C8">
        <w:rPr>
          <w:rFonts w:ascii="David" w:hAnsi="David" w:cs="David"/>
          <w:b/>
          <w:bCs/>
          <w:color w:val="000000"/>
          <w:u w:val="single"/>
          <w:rtl/>
        </w:rPr>
        <w:t>סמכות מקבילה</w:t>
      </w:r>
      <w:r w:rsidRPr="00DE21C8">
        <w:rPr>
          <w:rFonts w:ascii="David" w:hAnsi="David" w:cs="David"/>
          <w:b/>
          <w:bCs/>
          <w:color w:val="000000"/>
          <w:rtl/>
        </w:rPr>
        <w:t> </w:t>
      </w:r>
      <w:r w:rsidRPr="00DE21C8">
        <w:rPr>
          <w:rFonts w:ascii="David" w:hAnsi="David" w:cs="David"/>
          <w:color w:val="000000"/>
          <w:rtl/>
        </w:rPr>
        <w:t xml:space="preserve">לדון בכל אותם ענייני המעמד האישי של </w:t>
      </w:r>
      <w:r w:rsidRPr="00EC5CCE">
        <w:rPr>
          <w:rFonts w:ascii="David" w:hAnsi="David" w:cs="David"/>
          <w:color w:val="000000"/>
          <w:rtl/>
        </w:rPr>
        <w:t xml:space="preserve">מוסלמים. (ראו </w:t>
      </w:r>
      <w:r w:rsidRPr="001263B1">
        <w:rPr>
          <w:rFonts w:ascii="David" w:hAnsi="David" w:cs="David"/>
          <w:color w:val="000000"/>
          <w:rtl/>
        </w:rPr>
        <w:t>סעיף 3(ב1) לחוק בתי המשפט למשפחה</w:t>
      </w:r>
      <w:r w:rsidR="001263B1" w:rsidRPr="001263B1">
        <w:rPr>
          <w:rFonts w:ascii="David" w:hAnsi="David" w:cs="David"/>
          <w:color w:val="000000"/>
          <w:rtl/>
        </w:rPr>
        <w:t>). לפיכך גם בעניינם של מתדיינים מוסלמים, חל משטר "מרוץ הסמכויות"</w:t>
      </w:r>
      <w:r w:rsidR="004D193F">
        <w:rPr>
          <w:rFonts w:ascii="David" w:hAnsi="David" w:cs="David" w:hint="cs"/>
          <w:color w:val="000000"/>
          <w:rtl/>
        </w:rPr>
        <w:t>, חופש הבחירה בין הערכאו</w:t>
      </w:r>
      <w:r w:rsidR="0025452F">
        <w:rPr>
          <w:rFonts w:ascii="David" w:hAnsi="David" w:cs="David" w:hint="cs"/>
          <w:color w:val="000000"/>
          <w:rtl/>
        </w:rPr>
        <w:t xml:space="preserve">ת </w:t>
      </w:r>
      <w:r w:rsidR="001263B1" w:rsidRPr="00DE21C8">
        <w:rPr>
          <w:rFonts w:ascii="David" w:hAnsi="David" w:cs="David"/>
          <w:color w:val="000000"/>
          <w:rtl/>
        </w:rPr>
        <w:t>(</w:t>
      </w:r>
      <w:r w:rsidR="001263B1" w:rsidRPr="001263B1">
        <w:rPr>
          <w:rFonts w:ascii="David" w:hAnsi="David" w:cs="David"/>
          <w:color w:val="000000"/>
          <w:rtl/>
        </w:rPr>
        <w:t xml:space="preserve">ראו </w:t>
      </w:r>
      <w:hyperlink r:id="rId10" w:history="1">
        <w:r w:rsidR="001263B1" w:rsidRPr="001263B1">
          <w:rPr>
            <w:rFonts w:ascii="David" w:hAnsi="David" w:cs="David"/>
            <w:color w:val="0000FF"/>
            <w:u w:val="single"/>
            <w:rtl/>
          </w:rPr>
          <w:t>בג"ץ 2621/11</w:t>
        </w:r>
      </w:hyperlink>
      <w:r w:rsidR="001263B1" w:rsidRPr="00DE21C8">
        <w:rPr>
          <w:rFonts w:ascii="David" w:hAnsi="David" w:cs="David"/>
          <w:color w:val="000000"/>
          <w:rtl/>
        </w:rPr>
        <w:t> </w:t>
      </w:r>
      <w:r w:rsidR="001263B1" w:rsidRPr="00DE21C8">
        <w:rPr>
          <w:rFonts w:ascii="David" w:hAnsi="David" w:cs="David"/>
          <w:b/>
          <w:bCs/>
          <w:color w:val="000000"/>
          <w:rtl/>
        </w:rPr>
        <w:t>פלונית נ' בית הדין השרעי לערעורים בירושלים</w:t>
      </w:r>
      <w:r w:rsidR="001263B1" w:rsidRPr="00DE21C8">
        <w:rPr>
          <w:rFonts w:ascii="David" w:hAnsi="David" w:cs="David"/>
          <w:color w:val="000000"/>
          <w:rtl/>
        </w:rPr>
        <w:t>, [פורסם בנבו] (27/12/2011)).</w:t>
      </w:r>
      <w:r w:rsidR="001263B1" w:rsidRPr="00DB4FB5">
        <w:rPr>
          <w:rFonts w:ascii="David" w:hAnsi="David" w:cs="David"/>
          <w:color w:val="000000"/>
          <w:rtl/>
        </w:rPr>
        <w:t xml:space="preserve"> </w:t>
      </w:r>
    </w:p>
    <w:p w:rsidR="0025452F" w:rsidRPr="00DB4FB5" w:rsidRDefault="00BF594C" w:rsidP="00D9019F">
      <w:pPr>
        <w:pStyle w:val="NormalWeb"/>
        <w:shd w:val="clear" w:color="auto" w:fill="FFFFFF"/>
        <w:bidi/>
        <w:spacing w:before="180" w:beforeAutospacing="0" w:after="180" w:afterAutospacing="0" w:line="360" w:lineRule="auto"/>
        <w:jc w:val="both"/>
        <w:rPr>
          <w:rFonts w:ascii="David" w:hAnsi="David" w:cs="David"/>
          <w:color w:val="000000"/>
          <w:rtl/>
        </w:rPr>
      </w:pPr>
      <w:r>
        <w:rPr>
          <w:rFonts w:ascii="David" w:hAnsi="David" w:cs="David" w:hint="cs"/>
          <w:color w:val="000000"/>
          <w:rtl/>
        </w:rPr>
        <w:t>מקום בו תם דיון בפני ערכאה מוסמכת, בעניינים שבסמכות מקבילה, ומוגשת עתירה חד</w:t>
      </w:r>
      <w:r w:rsidR="00D9019F">
        <w:rPr>
          <w:rFonts w:ascii="David" w:hAnsi="David" w:cs="David" w:hint="cs"/>
          <w:color w:val="000000"/>
          <w:rtl/>
        </w:rPr>
        <w:t xml:space="preserve">שה, להידרש לאותה סוגיה, מחדש - </w:t>
      </w:r>
      <w:r w:rsidR="00DB4FB5" w:rsidRPr="00DB4FB5">
        <w:rPr>
          <w:rFonts w:ascii="David" w:hAnsi="David" w:cs="David"/>
          <w:color w:val="000000"/>
          <w:rtl/>
        </w:rPr>
        <w:t xml:space="preserve">על בית הדין לקנות סמכות ממקור אחר, הסמכות הנמשכת </w:t>
      </w:r>
      <w:r w:rsidR="00DB4FB5" w:rsidRPr="00DB4FB5">
        <w:rPr>
          <w:rFonts w:ascii="David" w:hAnsi="David" w:cs="David"/>
          <w:b/>
          <w:bCs/>
          <w:rtl/>
        </w:rPr>
        <w:t xml:space="preserve">"על-פיו, תהא הערכאה המקורית – והיא בלבד – מוסמכת לעסוק בגלגולו המאוחר של ענין שנדון בפניה בעבר" (ראו </w:t>
      </w:r>
      <w:hyperlink r:id="rId11" w:history="1">
        <w:r w:rsidR="0025452F" w:rsidRPr="00DB4FB5">
          <w:rPr>
            <w:rFonts w:ascii="David" w:hAnsi="David" w:cs="David"/>
            <w:color w:val="0000FF"/>
            <w:u w:val="single"/>
            <w:rtl/>
          </w:rPr>
          <w:t>בג"ץ 4111/07</w:t>
        </w:r>
      </w:hyperlink>
      <w:r w:rsidR="0025452F" w:rsidRPr="00DE21C8">
        <w:rPr>
          <w:rFonts w:ascii="David" w:hAnsi="David" w:cs="David"/>
          <w:color w:val="000000"/>
          <w:rtl/>
        </w:rPr>
        <w:t> </w:t>
      </w:r>
      <w:r w:rsidR="0025452F" w:rsidRPr="00DE21C8">
        <w:rPr>
          <w:rFonts w:ascii="David" w:hAnsi="David" w:cs="David"/>
          <w:b/>
          <w:bCs/>
          <w:color w:val="000000"/>
          <w:rtl/>
        </w:rPr>
        <w:t>פלונית נ' פלוני</w:t>
      </w:r>
      <w:r w:rsidR="0025452F" w:rsidRPr="00DE21C8">
        <w:rPr>
          <w:rFonts w:ascii="David" w:hAnsi="David" w:cs="David"/>
          <w:color w:val="000000"/>
          <w:rtl/>
        </w:rPr>
        <w:t> (בסעיף 7, טרם פורסם, [פורסם בנבו], (27/7/2008)</w:t>
      </w:r>
      <w:r w:rsidR="00DB4FB5" w:rsidRPr="00DB4FB5">
        <w:rPr>
          <w:rFonts w:ascii="David" w:hAnsi="David" w:cs="David"/>
          <w:color w:val="000000"/>
          <w:rtl/>
        </w:rPr>
        <w:t>).</w:t>
      </w:r>
    </w:p>
    <w:p w:rsidR="00DB4FB5" w:rsidRPr="00DB4FB5" w:rsidRDefault="00DB4FB5" w:rsidP="00DB4FB5">
      <w:pPr>
        <w:spacing w:line="360" w:lineRule="auto"/>
        <w:jc w:val="both"/>
        <w:rPr>
          <w:rFonts w:ascii="David" w:hAnsi="David"/>
          <w:noProof w:val="0"/>
          <w:color w:val="000000"/>
          <w:rtl/>
        </w:rPr>
      </w:pPr>
      <w:r w:rsidRPr="00DB4FB5">
        <w:rPr>
          <w:rFonts w:ascii="David" w:hAnsi="David"/>
          <w:b/>
          <w:bCs/>
          <w:noProof w:val="0"/>
          <w:color w:val="000000"/>
          <w:rtl/>
        </w:rPr>
        <w:lastRenderedPageBreak/>
        <w:t xml:space="preserve">בפסק דינו של בית המשפט העליון, </w:t>
      </w:r>
      <w:hyperlink r:id="rId12" w:history="1">
        <w:r w:rsidR="00CE2507" w:rsidRPr="00DB4FB5">
          <w:rPr>
            <w:rFonts w:ascii="David" w:hAnsi="David"/>
            <w:noProof w:val="0"/>
            <w:color w:val="0000FF"/>
            <w:u w:val="single"/>
            <w:rtl/>
          </w:rPr>
          <w:t>בג"ץ 2621/11</w:t>
        </w:r>
      </w:hyperlink>
      <w:r w:rsidR="00CE2507" w:rsidRPr="00DE21C8">
        <w:rPr>
          <w:rFonts w:ascii="David" w:hAnsi="David"/>
          <w:noProof w:val="0"/>
          <w:color w:val="000000"/>
          <w:rtl/>
        </w:rPr>
        <w:t> </w:t>
      </w:r>
      <w:r w:rsidR="00CE2507" w:rsidRPr="00DE21C8">
        <w:rPr>
          <w:rFonts w:ascii="David" w:hAnsi="David"/>
          <w:b/>
          <w:bCs/>
          <w:noProof w:val="0"/>
          <w:color w:val="000000"/>
          <w:rtl/>
        </w:rPr>
        <w:t>פלונית נ' בית הדין השרעי לערעורים בירושלים</w:t>
      </w:r>
      <w:r w:rsidR="00CE2507" w:rsidRPr="00DE21C8">
        <w:rPr>
          <w:rFonts w:ascii="David" w:hAnsi="David"/>
          <w:noProof w:val="0"/>
          <w:color w:val="000000"/>
          <w:rtl/>
        </w:rPr>
        <w:t>, [פורסם בנבו] (27/12/2011)).</w:t>
      </w:r>
      <w:r w:rsidRPr="00DB4FB5">
        <w:rPr>
          <w:rFonts w:ascii="David" w:hAnsi="David"/>
          <w:noProof w:val="0"/>
          <w:color w:val="000000"/>
          <w:rtl/>
        </w:rPr>
        <w:t>נידונה השאלה כיצד תבחן שאלת הסמכות הנמשכת ונקבע:</w:t>
      </w:r>
    </w:p>
    <w:p w:rsidR="00DB4FB5" w:rsidRPr="00DB4FB5" w:rsidRDefault="00DB4FB5" w:rsidP="00DB4FB5">
      <w:pPr>
        <w:jc w:val="both"/>
        <w:rPr>
          <w:rFonts w:ascii="David" w:hAnsi="David"/>
          <w:noProof w:val="0"/>
          <w:color w:val="000000"/>
          <w:rtl/>
        </w:rPr>
      </w:pPr>
    </w:p>
    <w:p w:rsidR="00CE2507" w:rsidRDefault="00DB4FB5" w:rsidP="00DB4FB5">
      <w:pPr>
        <w:jc w:val="both"/>
        <w:rPr>
          <w:rFonts w:ascii="David" w:hAnsi="David"/>
          <w:b/>
          <w:bCs/>
          <w:noProof w:val="0"/>
          <w:rtl/>
        </w:rPr>
      </w:pPr>
      <w:r>
        <w:rPr>
          <w:rFonts w:ascii="David" w:hAnsi="David" w:hint="cs"/>
          <w:b/>
          <w:bCs/>
          <w:rtl/>
        </w:rPr>
        <w:t>"</w:t>
      </w:r>
      <w:r w:rsidR="00CE2507" w:rsidRPr="00DB4FB5">
        <w:rPr>
          <w:rFonts w:ascii="David" w:hAnsi="David"/>
          <w:b/>
          <w:bCs/>
          <w:rtl/>
        </w:rPr>
        <w:t xml:space="preserve">ככלל, משהגיע הליך לסיומו מוצתה סמכותה המקורית של הערכאה הדנה והסמכות לדון בתביעות חדשות של הצדדים תהא שוב לפי עקרון הברירה החופשית בין הערכאות (ראו </w:t>
      </w:r>
      <w:hyperlink r:id="rId13" w:history="1">
        <w:r w:rsidR="00CE2507" w:rsidRPr="00DB4FB5">
          <w:rPr>
            <w:rStyle w:val="Hyperlink"/>
            <w:rFonts w:ascii="David" w:hAnsi="David"/>
            <w:b/>
            <w:bCs/>
            <w:rtl/>
          </w:rPr>
          <w:t>בג"ץ 4111/07</w:t>
        </w:r>
      </w:hyperlink>
      <w:r w:rsidR="00CE2507" w:rsidRPr="00DB4FB5">
        <w:rPr>
          <w:rFonts w:ascii="David" w:hAnsi="David"/>
          <w:b/>
          <w:bCs/>
          <w:rtl/>
        </w:rPr>
        <w:t xml:space="preserve"> פלונית נ' פלוני (בסעיף 7, [פורסם בנבו], 27.7.2008) (להלן: </w:t>
      </w:r>
      <w:hyperlink r:id="rId14" w:history="1">
        <w:r w:rsidR="00CE2507" w:rsidRPr="00DB4FB5">
          <w:rPr>
            <w:rStyle w:val="Hyperlink"/>
            <w:rFonts w:ascii="David" w:hAnsi="David"/>
            <w:b/>
            <w:bCs/>
            <w:rtl/>
          </w:rPr>
          <w:t>בג"ץ  4111/07</w:t>
        </w:r>
      </w:hyperlink>
      <w:r w:rsidR="00CE2507" w:rsidRPr="00DB4FB5">
        <w:rPr>
          <w:rFonts w:ascii="David" w:hAnsi="David"/>
          <w:b/>
          <w:bCs/>
          <w:rtl/>
        </w:rPr>
        <w:t xml:space="preserve"> פלונית). עם זאת, כאשר מדובר בסוגיות בעלות אופי מתמשך, כגון משמורת ילדים, קיים חשש שמתן חופש בחירה מחודש יוביל לכך שההחלטה שכבר ניתנה באותה סוגיה, לרבות רוחה או "הקו השיפוטי שנקטה" כפי שהגדיר השופט לוי, תסוכל כאשר תידון בפני הערכאה המקבילה (ראו </w:t>
      </w:r>
      <w:hyperlink r:id="rId15" w:history="1">
        <w:r w:rsidR="00CE2507" w:rsidRPr="00DB4FB5">
          <w:rPr>
            <w:rStyle w:val="Hyperlink"/>
            <w:rFonts w:ascii="David" w:hAnsi="David"/>
            <w:b/>
            <w:bCs/>
            <w:rtl/>
          </w:rPr>
          <w:t>בג"ץ 4111/07</w:t>
        </w:r>
      </w:hyperlink>
      <w:r w:rsidR="00CE2507" w:rsidRPr="00DB4FB5">
        <w:rPr>
          <w:rFonts w:ascii="David" w:hAnsi="David"/>
          <w:b/>
          <w:bCs/>
          <w:rtl/>
        </w:rPr>
        <w:t xml:space="preserve"> בסעיף 8). </w:t>
      </w:r>
    </w:p>
    <w:p w:rsidR="002654F3" w:rsidRDefault="002654F3" w:rsidP="00DB4FB5">
      <w:pPr>
        <w:jc w:val="both"/>
        <w:rPr>
          <w:rtl/>
        </w:rPr>
      </w:pPr>
      <w:r>
        <w:rPr>
          <w:rFonts w:hint="cs"/>
          <w:rtl/>
        </w:rPr>
        <w:t>....</w:t>
      </w:r>
    </w:p>
    <w:p w:rsidR="002654F3" w:rsidRPr="002654F3" w:rsidRDefault="002654F3" w:rsidP="002654F3">
      <w:pPr>
        <w:pStyle w:val="Ruller40"/>
        <w:spacing w:line="240" w:lineRule="auto"/>
        <w:rPr>
          <w:rFonts w:ascii="David" w:hAnsi="David" w:cs="David"/>
          <w:b/>
          <w:bCs/>
          <w:sz w:val="24"/>
          <w:szCs w:val="24"/>
        </w:rPr>
      </w:pPr>
      <w:r w:rsidRPr="002654F3">
        <w:rPr>
          <w:rFonts w:ascii="David" w:hAnsi="David" w:cs="David"/>
          <w:b/>
          <w:bCs/>
          <w:sz w:val="24"/>
          <w:szCs w:val="24"/>
          <w:rtl/>
        </w:rPr>
        <w:t>כלל הסמכות הנמשכת מהווה חריג לכלל ומטרתו "למנוע התרוצצות מכבידה ומבזה של בעלי הדין ממערכת שיפוט אחת לאחרת" (</w:t>
      </w:r>
      <w:hyperlink r:id="rId16" w:history="1">
        <w:r w:rsidRPr="002654F3">
          <w:rPr>
            <w:rStyle w:val="Hyperlink"/>
            <w:rFonts w:ascii="David" w:hAnsi="David" w:cs="David"/>
            <w:b/>
            <w:bCs/>
            <w:sz w:val="24"/>
            <w:szCs w:val="24"/>
            <w:rtl/>
          </w:rPr>
          <w:t>ע"א 3868/95 ורבר נ' ורבר, פ"ד נב</w:t>
        </w:r>
      </w:hyperlink>
      <w:r w:rsidRPr="002654F3">
        <w:rPr>
          <w:rFonts w:ascii="David" w:hAnsi="David" w:cs="David"/>
          <w:b/>
          <w:bCs/>
          <w:sz w:val="24"/>
          <w:szCs w:val="24"/>
          <w:rtl/>
        </w:rPr>
        <w:t xml:space="preserve">(5) 817, 835 (1998) (להלן: </w:t>
      </w:r>
      <w:r w:rsidRPr="002654F3">
        <w:rPr>
          <w:rFonts w:ascii="David" w:hAnsi="David" w:cs="David"/>
          <w:b/>
          <w:bCs/>
          <w:spacing w:val="0"/>
          <w:sz w:val="24"/>
          <w:szCs w:val="24"/>
          <w:rtl/>
        </w:rPr>
        <w:t>עניין ורבר</w:t>
      </w:r>
      <w:r w:rsidRPr="002654F3">
        <w:rPr>
          <w:rFonts w:ascii="David" w:hAnsi="David" w:cs="David"/>
          <w:b/>
          <w:bCs/>
          <w:sz w:val="24"/>
          <w:szCs w:val="24"/>
          <w:rtl/>
        </w:rPr>
        <w:t>). "עקרון הסמכות הנמשכת נועד מעיקרו להקנות סמכות לשינויה או לביטולה של החלטה קודמת עקב שינוי שחל בנסיבות שההחלטה הראשונה ייסדה עצמה עליהן" (</w:t>
      </w:r>
      <w:r w:rsidRPr="002654F3">
        <w:rPr>
          <w:rFonts w:ascii="David" w:hAnsi="David" w:cs="David"/>
          <w:b/>
          <w:bCs/>
          <w:spacing w:val="0"/>
          <w:sz w:val="24"/>
          <w:szCs w:val="24"/>
          <w:rtl/>
        </w:rPr>
        <w:t>בג"ץ חליווה</w:t>
      </w:r>
      <w:r w:rsidRPr="002654F3">
        <w:rPr>
          <w:rFonts w:ascii="David" w:hAnsi="David" w:cs="David"/>
          <w:b/>
          <w:bCs/>
          <w:sz w:val="24"/>
          <w:szCs w:val="24"/>
          <w:rtl/>
        </w:rPr>
        <w:t xml:space="preserve"> בעמוד 641). כך סיכמה במדויק השופטת </w:t>
      </w:r>
      <w:r w:rsidRPr="002654F3">
        <w:rPr>
          <w:rFonts w:ascii="David" w:hAnsi="David" w:cs="David"/>
          <w:b/>
          <w:bCs/>
          <w:spacing w:val="0"/>
          <w:sz w:val="24"/>
          <w:szCs w:val="24"/>
          <w:rtl/>
        </w:rPr>
        <w:t>מ' נאור</w:t>
      </w:r>
      <w:r w:rsidRPr="002654F3">
        <w:rPr>
          <w:rFonts w:ascii="David" w:hAnsi="David" w:cs="David"/>
          <w:b/>
          <w:bCs/>
          <w:sz w:val="24"/>
          <w:szCs w:val="24"/>
          <w:rtl/>
        </w:rPr>
        <w:t xml:space="preserve"> ב</w:t>
      </w:r>
      <w:hyperlink r:id="rId17" w:history="1">
        <w:r w:rsidRPr="002654F3">
          <w:rPr>
            <w:rStyle w:val="Hyperlink"/>
            <w:rFonts w:ascii="David" w:hAnsi="David" w:cs="David"/>
            <w:b/>
            <w:bCs/>
            <w:sz w:val="24"/>
            <w:szCs w:val="24"/>
            <w:rtl/>
          </w:rPr>
          <w:t>בג"ץ 6021/10</w:t>
        </w:r>
      </w:hyperlink>
      <w:r w:rsidRPr="002654F3">
        <w:rPr>
          <w:rFonts w:ascii="David" w:hAnsi="David" w:cs="David"/>
          <w:b/>
          <w:bCs/>
          <w:sz w:val="24"/>
          <w:szCs w:val="24"/>
          <w:rtl/>
        </w:rPr>
        <w:t xml:space="preserve"> </w:t>
      </w:r>
      <w:r w:rsidRPr="002654F3">
        <w:rPr>
          <w:rFonts w:ascii="David" w:hAnsi="David" w:cs="David"/>
          <w:b/>
          <w:bCs/>
          <w:spacing w:val="0"/>
          <w:sz w:val="24"/>
          <w:szCs w:val="24"/>
          <w:rtl/>
        </w:rPr>
        <w:t>פלונית נ' בית הדין הרבני האזורי בירושלים,</w:t>
      </w:r>
      <w:r w:rsidRPr="002654F3">
        <w:rPr>
          <w:rFonts w:ascii="David" w:hAnsi="David" w:cs="David"/>
          <w:b/>
          <w:bCs/>
          <w:sz w:val="24"/>
          <w:szCs w:val="24"/>
          <w:rtl/>
        </w:rPr>
        <w:t xml:space="preserve"> (בסעיף 11 לפסק דינה,  </w:t>
      </w:r>
      <w:r w:rsidRPr="002654F3">
        <w:rPr>
          <w:rFonts w:ascii="David" w:hAnsi="David" w:cs="David"/>
          <w:b/>
          <w:bCs/>
          <w:spacing w:val="0"/>
          <w:sz w:val="24"/>
          <w:szCs w:val="24"/>
          <w:rtl/>
        </w:rPr>
        <w:t>[פורסם בנבו]</w:t>
      </w:r>
      <w:r w:rsidRPr="002654F3">
        <w:rPr>
          <w:rFonts w:ascii="David" w:hAnsi="David" w:cs="David"/>
          <w:b/>
          <w:bCs/>
          <w:sz w:val="24"/>
          <w:szCs w:val="24"/>
          <w:rtl/>
        </w:rPr>
        <w:t>, 4.10.2010):</w:t>
      </w:r>
    </w:p>
    <w:p w:rsidR="002654F3" w:rsidRPr="002654F3" w:rsidRDefault="002654F3" w:rsidP="002654F3">
      <w:pPr>
        <w:pStyle w:val="Ruller50"/>
        <w:ind w:left="1440"/>
        <w:rPr>
          <w:rFonts w:ascii="David" w:hAnsi="David" w:cs="David"/>
          <w:b/>
          <w:bCs/>
          <w:sz w:val="24"/>
          <w:szCs w:val="24"/>
          <w:rtl/>
        </w:rPr>
      </w:pPr>
      <w:r w:rsidRPr="002654F3">
        <w:rPr>
          <w:rFonts w:ascii="David" w:hAnsi="David" w:cs="David"/>
          <w:b/>
          <w:bCs/>
          <w:sz w:val="24"/>
          <w:szCs w:val="24"/>
          <w:rtl/>
        </w:rPr>
        <w:t xml:space="preserve">"במקום בו דנה ופסקה אחת הערכאות מכוח סמכות שיפוט מקורית, לגופה של סוגיה בעלת אופי מתמשך, אותה ערכאה תמשיך להחזיק בסמכות שיפוט כלפי התדיינות נוספת בסוגיה. סמכות נמשכת זו מהווה חריג לכלל הקובע ברירה חופשית בין ערכאות ונשענת על רציונל כיבוד הדדי בין ערכאות". </w:t>
      </w:r>
    </w:p>
    <w:p w:rsidR="002654F3" w:rsidRPr="002654F3" w:rsidRDefault="002654F3" w:rsidP="002654F3">
      <w:pPr>
        <w:pStyle w:val="Ruller50"/>
        <w:rPr>
          <w:rFonts w:ascii="David" w:hAnsi="David" w:cs="David"/>
          <w:b/>
          <w:bCs/>
          <w:sz w:val="24"/>
          <w:szCs w:val="24"/>
          <w:rtl/>
        </w:rPr>
      </w:pPr>
    </w:p>
    <w:p w:rsidR="002654F3" w:rsidRPr="002654F3" w:rsidRDefault="002654F3" w:rsidP="002654F3">
      <w:pPr>
        <w:pStyle w:val="Ruller40"/>
        <w:spacing w:line="240" w:lineRule="auto"/>
        <w:rPr>
          <w:rFonts w:ascii="David" w:hAnsi="David" w:cs="David"/>
          <w:b/>
          <w:bCs/>
          <w:sz w:val="24"/>
          <w:szCs w:val="24"/>
          <w:rtl/>
        </w:rPr>
      </w:pPr>
      <w:r w:rsidRPr="002654F3">
        <w:rPr>
          <w:rFonts w:ascii="David" w:hAnsi="David" w:cs="David"/>
          <w:b/>
          <w:bCs/>
          <w:sz w:val="24"/>
          <w:szCs w:val="24"/>
          <w:rtl/>
        </w:rPr>
        <w:tab/>
      </w:r>
    </w:p>
    <w:p w:rsidR="002654F3" w:rsidRPr="00C84096" w:rsidRDefault="002654F3" w:rsidP="002654F3">
      <w:pPr>
        <w:pStyle w:val="Ruller40"/>
        <w:spacing w:line="240" w:lineRule="auto"/>
        <w:rPr>
          <w:rFonts w:ascii="David" w:hAnsi="David" w:cs="David"/>
          <w:b/>
          <w:bCs/>
          <w:sz w:val="24"/>
          <w:szCs w:val="24"/>
          <w:rtl/>
        </w:rPr>
      </w:pPr>
      <w:r w:rsidRPr="00C84096">
        <w:rPr>
          <w:rFonts w:ascii="David" w:hAnsi="David" w:cs="David"/>
          <w:b/>
          <w:bCs/>
          <w:sz w:val="24"/>
          <w:szCs w:val="24"/>
          <w:rtl/>
        </w:rPr>
        <w:t xml:space="preserve">אותה הלכה חלה גם על כלל בתי הדין הדתיים, לרבות בתי הדין השרעיים וכמובן על בית המשפט למשפחה (ראו </w:t>
      </w:r>
      <w:hyperlink r:id="rId18" w:history="1">
        <w:r w:rsidRPr="00C84096">
          <w:rPr>
            <w:rStyle w:val="Hyperlink"/>
            <w:rFonts w:ascii="David" w:hAnsi="David" w:cs="David"/>
            <w:b/>
            <w:bCs/>
            <w:spacing w:val="0"/>
            <w:sz w:val="24"/>
            <w:szCs w:val="24"/>
            <w:rtl/>
          </w:rPr>
          <w:t>בג"ץ  4111/07</w:t>
        </w:r>
      </w:hyperlink>
      <w:r w:rsidRPr="00C84096">
        <w:rPr>
          <w:rFonts w:ascii="David" w:hAnsi="David" w:cs="David"/>
          <w:b/>
          <w:bCs/>
          <w:spacing w:val="0"/>
          <w:sz w:val="24"/>
          <w:szCs w:val="24"/>
          <w:rtl/>
        </w:rPr>
        <w:t xml:space="preserve">, </w:t>
      </w:r>
      <w:r w:rsidRPr="00C84096">
        <w:rPr>
          <w:rFonts w:ascii="David" w:hAnsi="David" w:cs="David"/>
          <w:b/>
          <w:bCs/>
          <w:sz w:val="24"/>
          <w:szCs w:val="24"/>
          <w:rtl/>
        </w:rPr>
        <w:t xml:space="preserve">בסעיף 13; </w:t>
      </w:r>
      <w:hyperlink r:id="rId19" w:history="1">
        <w:r w:rsidRPr="00C84096">
          <w:rPr>
            <w:rStyle w:val="Hyperlink"/>
            <w:rFonts w:ascii="David" w:hAnsi="David" w:cs="David"/>
            <w:b/>
            <w:bCs/>
            <w:sz w:val="24"/>
            <w:szCs w:val="24"/>
            <w:rtl/>
          </w:rPr>
          <w:t>בג"ץ 6193/98 קדור (חלבי) נ' שיח' הינו-קאדי מד'הב של בית-הדין הדרוזי בעכו, פ"ד נג</w:t>
        </w:r>
      </w:hyperlink>
      <w:r w:rsidRPr="00C84096">
        <w:rPr>
          <w:rFonts w:ascii="David" w:hAnsi="David" w:cs="David"/>
          <w:b/>
          <w:bCs/>
          <w:sz w:val="24"/>
          <w:szCs w:val="24"/>
          <w:rtl/>
        </w:rPr>
        <w:t>(2) 625 (1999)).</w:t>
      </w:r>
    </w:p>
    <w:p w:rsidR="002654F3" w:rsidRPr="00C84096" w:rsidRDefault="002654F3" w:rsidP="002654F3">
      <w:pPr>
        <w:spacing w:line="360" w:lineRule="atLeast"/>
        <w:ind w:left="720" w:hanging="720"/>
        <w:jc w:val="both"/>
        <w:rPr>
          <w:rFonts w:ascii="David" w:hAnsi="David"/>
          <w:noProof w:val="0"/>
          <w:color w:val="000000"/>
          <w:rtl/>
        </w:rPr>
      </w:pPr>
      <w:r w:rsidRPr="00C84096">
        <w:rPr>
          <w:rFonts w:ascii="David" w:hAnsi="David" w:hint="cs"/>
          <w:noProof w:val="0"/>
          <w:color w:val="000000"/>
          <w:rtl/>
        </w:rPr>
        <w:t xml:space="preserve"> </w:t>
      </w:r>
    </w:p>
    <w:p w:rsidR="00DE21C8" w:rsidRDefault="002654F3" w:rsidP="002654F3">
      <w:pPr>
        <w:spacing w:line="360" w:lineRule="atLeast"/>
        <w:jc w:val="both"/>
        <w:rPr>
          <w:rFonts w:ascii="David" w:hAnsi="David"/>
          <w:noProof w:val="0"/>
          <w:color w:val="000000"/>
          <w:rtl/>
        </w:rPr>
      </w:pPr>
      <w:r w:rsidRPr="00C84096">
        <w:rPr>
          <w:rFonts w:ascii="David" w:hAnsi="David" w:hint="cs"/>
          <w:noProof w:val="0"/>
          <w:color w:val="000000"/>
          <w:rtl/>
        </w:rPr>
        <w:t xml:space="preserve">בהעדר הסכמה של הצדדים, כי הערכאה תקנה הסמכות הנמשכת לדון באותה סוגיה, </w:t>
      </w:r>
      <w:r w:rsidR="00DE21C8" w:rsidRPr="00DE21C8">
        <w:rPr>
          <w:rFonts w:ascii="David" w:hAnsi="David"/>
          <w:noProof w:val="0"/>
          <w:color w:val="000000"/>
          <w:rtl/>
        </w:rPr>
        <w:t>סמכות נמשכת מותנית בהתקיימות שני תנאים מצטברים:</w:t>
      </w:r>
    </w:p>
    <w:p w:rsidR="00C84096" w:rsidRPr="00C84096" w:rsidRDefault="00C84096" w:rsidP="002654F3">
      <w:pPr>
        <w:spacing w:line="360" w:lineRule="atLeast"/>
        <w:jc w:val="both"/>
        <w:rPr>
          <w:rFonts w:ascii="David" w:hAnsi="David"/>
          <w:noProof w:val="0"/>
          <w:color w:val="000000"/>
          <w:rtl/>
        </w:rPr>
      </w:pPr>
    </w:p>
    <w:p w:rsidR="00D8480E" w:rsidRPr="00C84096" w:rsidRDefault="00D8480E" w:rsidP="00D8480E">
      <w:pPr>
        <w:spacing w:line="360" w:lineRule="atLeast"/>
        <w:jc w:val="both"/>
        <w:rPr>
          <w:rFonts w:ascii="David" w:hAnsi="David"/>
          <w:noProof w:val="0"/>
          <w:color w:val="000000"/>
          <w:rtl/>
        </w:rPr>
      </w:pPr>
      <w:r w:rsidRPr="00C84096">
        <w:rPr>
          <w:rFonts w:ascii="David" w:hAnsi="David"/>
          <w:u w:val="single"/>
          <w:rtl/>
        </w:rPr>
        <w:lastRenderedPageBreak/>
        <w:t>התנאי הראשון</w:t>
      </w:r>
      <w:r w:rsidRPr="00C84096">
        <w:rPr>
          <w:rFonts w:ascii="David" w:hAnsi="David"/>
          <w:rtl/>
        </w:rPr>
        <w:t xml:space="preserve">, כי </w:t>
      </w:r>
      <w:r w:rsidRPr="00C84096">
        <w:rPr>
          <w:rFonts w:ascii="David" w:hAnsi="David" w:hint="cs"/>
          <w:b/>
          <w:bCs/>
          <w:rtl/>
        </w:rPr>
        <w:t>"</w:t>
      </w:r>
      <w:r w:rsidRPr="00C84096">
        <w:rPr>
          <w:rFonts w:ascii="David" w:hAnsi="David"/>
          <w:b/>
          <w:bCs/>
          <w:rtl/>
        </w:rPr>
        <w:t>ההחלטה המקורית ניתנה לאחר בירור ושקילה. עליה לשקף הליך של דיון משפטי, שבמהלכו נשמעו או הוגשו טיעוני הצדדים, נקבעו ממצאים ונתקבלו הכרעות. על כן ברור, ראשית, כי סוגיה מאוחרת שכלל לא נדונה בערכאה המקורית וממילא לא הוכרעה, לא תקים סמכות נמשכת לאותה ערכאה ואפילו היא קשורה לענינים אחרים, שכן נדונו"</w:t>
      </w:r>
      <w:r w:rsidRPr="00C84096">
        <w:rPr>
          <w:rFonts w:ascii="David" w:hAnsi="David"/>
          <w:noProof w:val="0"/>
          <w:color w:val="000000"/>
          <w:rtl/>
        </w:rPr>
        <w:t xml:space="preserve"> (ראו בג"צ 4111/07 לעיל).</w:t>
      </w:r>
    </w:p>
    <w:p w:rsidR="00D8480E" w:rsidRPr="00DE21C8" w:rsidRDefault="00D8480E" w:rsidP="002654F3">
      <w:pPr>
        <w:spacing w:line="360" w:lineRule="atLeast"/>
        <w:jc w:val="both"/>
        <w:rPr>
          <w:rFonts w:cs="Times New Roman"/>
          <w:noProof w:val="0"/>
          <w:color w:val="000000"/>
          <w:sz w:val="27"/>
          <w:szCs w:val="27"/>
          <w:rtl/>
        </w:rPr>
      </w:pPr>
    </w:p>
    <w:p w:rsidR="00D8480E" w:rsidRDefault="00DE21C8" w:rsidP="00D8480E">
      <w:pPr>
        <w:spacing w:line="360" w:lineRule="atLeast"/>
        <w:jc w:val="both"/>
        <w:rPr>
          <w:rFonts w:ascii="David" w:hAnsi="David"/>
          <w:noProof w:val="0"/>
          <w:color w:val="000000"/>
          <w:sz w:val="27"/>
          <w:szCs w:val="27"/>
          <w:rtl/>
        </w:rPr>
      </w:pPr>
      <w:r w:rsidRPr="00DE21C8">
        <w:rPr>
          <w:rFonts w:ascii="David" w:hAnsi="David"/>
          <w:noProof w:val="0"/>
          <w:color w:val="000000"/>
          <w:sz w:val="27"/>
          <w:szCs w:val="27"/>
          <w:u w:val="single"/>
          <w:rtl/>
        </w:rPr>
        <w:t>התנאי השני</w:t>
      </w:r>
      <w:r w:rsidRPr="00DE21C8">
        <w:rPr>
          <w:rFonts w:ascii="David" w:hAnsi="David"/>
          <w:noProof w:val="0"/>
          <w:color w:val="000000"/>
          <w:sz w:val="27"/>
          <w:szCs w:val="27"/>
          <w:rtl/>
        </w:rPr>
        <w:t xml:space="preserve"> </w:t>
      </w:r>
      <w:r w:rsidR="00D8480E">
        <w:rPr>
          <w:rFonts w:hint="cs"/>
          <w:b/>
          <w:bCs/>
          <w:rtl/>
        </w:rPr>
        <w:t>"</w:t>
      </w:r>
      <w:r w:rsidR="00D8480E" w:rsidRPr="00D8480E">
        <w:rPr>
          <w:b/>
          <w:bCs/>
          <w:rtl/>
        </w:rPr>
        <w:t>שהסוגיה המאוחרת קרובה במידה מספקת</w:t>
      </w:r>
      <w:r w:rsidR="00D8480E">
        <w:rPr>
          <w:b/>
          <w:bCs/>
          <w:rtl/>
        </w:rPr>
        <w:t xml:space="preserve"> לזו המקורית, עד כי נשמר צביונו</w:t>
      </w:r>
      <w:r w:rsidR="00D8480E">
        <w:rPr>
          <w:rFonts w:hint="cs"/>
          <w:b/>
          <w:bCs/>
          <w:rtl/>
        </w:rPr>
        <w:t xml:space="preserve"> </w:t>
      </w:r>
      <w:r w:rsidR="00D8480E" w:rsidRPr="00D8480E">
        <w:rPr>
          <w:b/>
          <w:bCs/>
          <w:rtl/>
        </w:rPr>
        <w:t>המתמשך של הענין, שהוא המצדיק שיבה אל הערכאה אשר בראשונה</w:t>
      </w:r>
      <w:r w:rsidR="00D8480E">
        <w:rPr>
          <w:rFonts w:hint="cs"/>
          <w:b/>
          <w:bCs/>
          <w:rtl/>
        </w:rPr>
        <w:t xml:space="preserve">" </w:t>
      </w:r>
      <w:r w:rsidR="00D8480E" w:rsidRPr="00D8480E">
        <w:rPr>
          <w:rFonts w:ascii="David" w:hAnsi="David"/>
          <w:noProof w:val="0"/>
          <w:color w:val="000000"/>
          <w:rtl/>
        </w:rPr>
        <w:t>(ראו בג"צ 4111/07 לעיל).</w:t>
      </w:r>
    </w:p>
    <w:p w:rsidR="00D8480E" w:rsidRDefault="00D8480E" w:rsidP="002654F3">
      <w:pPr>
        <w:spacing w:line="360" w:lineRule="atLeast"/>
        <w:ind w:left="720" w:hanging="720"/>
        <w:jc w:val="both"/>
        <w:rPr>
          <w:rFonts w:ascii="David" w:hAnsi="David"/>
          <w:noProof w:val="0"/>
          <w:color w:val="000000"/>
          <w:sz w:val="27"/>
          <w:szCs w:val="27"/>
          <w:rtl/>
        </w:rPr>
      </w:pPr>
    </w:p>
    <w:p w:rsidR="00876606" w:rsidRDefault="00D8480E" w:rsidP="00C67916">
      <w:pPr>
        <w:spacing w:line="360" w:lineRule="auto"/>
        <w:jc w:val="both"/>
        <w:rPr>
          <w:rFonts w:ascii="Arial" w:hAnsi="Arial"/>
          <w:noProof w:val="0"/>
          <w:rtl/>
        </w:rPr>
      </w:pPr>
      <w:r>
        <w:rPr>
          <w:rFonts w:ascii="David" w:hAnsi="David" w:hint="cs"/>
          <w:noProof w:val="0"/>
          <w:rtl/>
        </w:rPr>
        <w:t xml:space="preserve">בעניינינו, </w:t>
      </w:r>
      <w:r>
        <w:rPr>
          <w:rFonts w:ascii="David" w:hAnsi="David"/>
          <w:noProof w:val="0"/>
          <w:rtl/>
        </w:rPr>
        <w:t>בית הדין השרעי</w:t>
      </w:r>
      <w:r w:rsidR="00094778">
        <w:rPr>
          <w:rFonts w:ascii="David" w:hAnsi="David" w:hint="cs"/>
          <w:noProof w:val="0"/>
          <w:rtl/>
        </w:rPr>
        <w:t xml:space="preserve"> פסק בסוגיית המזונות של הקטינים וזאת בהחלטה </w:t>
      </w:r>
      <w:r w:rsidR="00C67916">
        <w:rPr>
          <w:rFonts w:ascii="David" w:hAnsi="David" w:hint="cs"/>
          <w:noProof w:val="0"/>
          <w:rtl/>
        </w:rPr>
        <w:t>משנת 2015</w:t>
      </w:r>
      <w:r w:rsidR="007122A3">
        <w:rPr>
          <w:rFonts w:ascii="Arial" w:hAnsi="Arial" w:hint="cs"/>
          <w:noProof w:val="0"/>
          <w:rtl/>
        </w:rPr>
        <w:t xml:space="preserve">, </w:t>
      </w:r>
      <w:r w:rsidR="00094778">
        <w:rPr>
          <w:rFonts w:ascii="Arial" w:hAnsi="Arial" w:hint="cs"/>
          <w:noProof w:val="0"/>
          <w:rtl/>
        </w:rPr>
        <w:t xml:space="preserve">עת קבע </w:t>
      </w:r>
      <w:r w:rsidR="00876606">
        <w:rPr>
          <w:rFonts w:ascii="Arial" w:hAnsi="Arial" w:hint="cs"/>
          <w:noProof w:val="0"/>
          <w:rtl/>
        </w:rPr>
        <w:t>כדלקמן:</w:t>
      </w:r>
    </w:p>
    <w:p w:rsidR="00876606" w:rsidRDefault="00876606" w:rsidP="00AA2AB2">
      <w:pPr>
        <w:spacing w:line="360" w:lineRule="auto"/>
        <w:jc w:val="both"/>
        <w:rPr>
          <w:rFonts w:ascii="Arial" w:hAnsi="Arial"/>
          <w:noProof w:val="0"/>
          <w:rtl/>
        </w:rPr>
      </w:pPr>
      <w:r w:rsidRPr="00676CB9">
        <w:rPr>
          <w:rFonts w:ascii="Arial" w:hAnsi="Arial"/>
          <w:rtl/>
        </w:rPr>
        <w:drawing>
          <wp:inline distT="0" distB="0" distL="0" distR="0" wp14:anchorId="6E8E18B5" wp14:editId="5C56DAE1">
            <wp:extent cx="4953691" cy="1524213"/>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53691" cy="1524213"/>
                    </a:xfrm>
                    <a:prstGeom prst="rect">
                      <a:avLst/>
                    </a:prstGeom>
                  </pic:spPr>
                </pic:pic>
              </a:graphicData>
            </a:graphic>
          </wp:inline>
        </w:drawing>
      </w:r>
    </w:p>
    <w:p w:rsidR="00094778" w:rsidRDefault="00B630D5" w:rsidP="00B630D5">
      <w:pPr>
        <w:spacing w:line="360" w:lineRule="auto"/>
        <w:jc w:val="both"/>
        <w:rPr>
          <w:rFonts w:ascii="Arial" w:hAnsi="Arial"/>
          <w:noProof w:val="0"/>
          <w:rtl/>
        </w:rPr>
      </w:pPr>
      <w:r>
        <w:rPr>
          <w:rFonts w:ascii="Arial" w:hAnsi="Arial" w:hint="cs"/>
          <w:noProof w:val="0"/>
          <w:rtl/>
        </w:rPr>
        <w:t xml:space="preserve">לא הוגשו לבית המשפט, </w:t>
      </w:r>
      <w:r w:rsidR="00094778">
        <w:rPr>
          <w:rFonts w:ascii="Arial" w:hAnsi="Arial" w:hint="cs"/>
          <w:noProof w:val="0"/>
          <w:rtl/>
        </w:rPr>
        <w:t>כתבי הטענות שהוגשו לבית הדין השרעי ולא פרוטוקול הדיון אלא ההחלטה בלבד.</w:t>
      </w:r>
    </w:p>
    <w:p w:rsidR="00B630D5" w:rsidRDefault="00B630D5" w:rsidP="00AA2AB2">
      <w:pPr>
        <w:spacing w:line="360" w:lineRule="auto"/>
        <w:jc w:val="both"/>
        <w:rPr>
          <w:rFonts w:ascii="Arial" w:hAnsi="Arial"/>
          <w:noProof w:val="0"/>
          <w:rtl/>
        </w:rPr>
      </w:pPr>
    </w:p>
    <w:p w:rsidR="00726A0C" w:rsidRDefault="00726A0C" w:rsidP="0080151A">
      <w:pPr>
        <w:spacing w:line="360" w:lineRule="auto"/>
        <w:jc w:val="both"/>
        <w:rPr>
          <w:rFonts w:ascii="Arial" w:hAnsi="Arial"/>
          <w:noProof w:val="0"/>
          <w:rtl/>
        </w:rPr>
      </w:pPr>
      <w:r>
        <w:rPr>
          <w:rFonts w:ascii="Arial" w:hAnsi="Arial" w:hint="cs"/>
          <w:noProof w:val="0"/>
          <w:rtl/>
        </w:rPr>
        <w:t>המשיבה, אשר ביקשה להתנגד לטענ</w:t>
      </w:r>
      <w:r w:rsidR="0080151A">
        <w:rPr>
          <w:rFonts w:ascii="Arial" w:hAnsi="Arial" w:hint="cs"/>
          <w:noProof w:val="0"/>
          <w:rtl/>
        </w:rPr>
        <w:t xml:space="preserve">ת המשיב, לא </w:t>
      </w:r>
      <w:r>
        <w:rPr>
          <w:rFonts w:ascii="Arial" w:hAnsi="Arial" w:hint="cs"/>
          <w:noProof w:val="0"/>
          <w:rtl/>
        </w:rPr>
        <w:t>הגישה כל אסמכתא שיש בה לבסס גרסתה</w:t>
      </w:r>
      <w:r w:rsidR="0080151A">
        <w:rPr>
          <w:rFonts w:ascii="Arial" w:hAnsi="Arial" w:hint="cs"/>
          <w:noProof w:val="0"/>
          <w:rtl/>
        </w:rPr>
        <w:t>,</w:t>
      </w:r>
      <w:r>
        <w:rPr>
          <w:rFonts w:ascii="Arial" w:hAnsi="Arial" w:hint="cs"/>
          <w:noProof w:val="0"/>
          <w:rtl/>
        </w:rPr>
        <w:t xml:space="preserve"> כי לא היה דיון מעמיק בפני בית הדין וכי הדבר כלל לא נדרש בכתבי הטענות.</w:t>
      </w:r>
      <w:r w:rsidR="0080151A">
        <w:rPr>
          <w:rFonts w:ascii="Arial" w:hAnsi="Arial" w:hint="cs"/>
          <w:noProof w:val="0"/>
          <w:rtl/>
        </w:rPr>
        <w:t xml:space="preserve"> טענות אלו נטענו בעלמא.</w:t>
      </w:r>
    </w:p>
    <w:p w:rsidR="00726A0C" w:rsidRDefault="00726A0C" w:rsidP="00AA2AB2">
      <w:pPr>
        <w:spacing w:line="360" w:lineRule="auto"/>
        <w:jc w:val="both"/>
        <w:rPr>
          <w:rFonts w:ascii="Arial" w:hAnsi="Arial"/>
          <w:noProof w:val="0"/>
          <w:rtl/>
        </w:rPr>
      </w:pPr>
    </w:p>
    <w:p w:rsidR="00876606" w:rsidRDefault="00876606" w:rsidP="0080151A">
      <w:pPr>
        <w:spacing w:line="360" w:lineRule="auto"/>
        <w:jc w:val="both"/>
        <w:rPr>
          <w:rFonts w:ascii="Arial" w:hAnsi="Arial"/>
          <w:noProof w:val="0"/>
          <w:rtl/>
        </w:rPr>
      </w:pPr>
      <w:r>
        <w:rPr>
          <w:rFonts w:ascii="Arial" w:hAnsi="Arial" w:hint="cs"/>
          <w:noProof w:val="0"/>
          <w:rtl/>
        </w:rPr>
        <w:t>בית הדין קבע כי "</w:t>
      </w:r>
      <w:r w:rsidRPr="007122A3">
        <w:rPr>
          <w:rFonts w:ascii="Arial" w:hAnsi="Arial" w:hint="cs"/>
          <w:b/>
          <w:bCs/>
          <w:noProof w:val="0"/>
          <w:rtl/>
        </w:rPr>
        <w:t>הנתבע הוכיח</w:t>
      </w:r>
      <w:r>
        <w:rPr>
          <w:rFonts w:ascii="Arial" w:hAnsi="Arial" w:hint="cs"/>
          <w:noProof w:val="0"/>
          <w:rtl/>
        </w:rPr>
        <w:t>" כי לשני ילדיו דיי ממון לספק מזונותיהם, כפי הדין השרע</w:t>
      </w:r>
      <w:r w:rsidR="0080151A">
        <w:rPr>
          <w:rFonts w:ascii="Arial" w:hAnsi="Arial" w:hint="cs"/>
          <w:noProof w:val="0"/>
          <w:rtl/>
        </w:rPr>
        <w:t xml:space="preserve">י וכן קבע כי גרסת המשיבה נמצאה </w:t>
      </w:r>
      <w:r>
        <w:rPr>
          <w:rFonts w:ascii="Arial" w:hAnsi="Arial" w:hint="cs"/>
          <w:noProof w:val="0"/>
          <w:rtl/>
        </w:rPr>
        <w:t xml:space="preserve">לא מהימנה </w:t>
      </w:r>
      <w:r w:rsidR="0080151A">
        <w:rPr>
          <w:rFonts w:ascii="Arial" w:hAnsi="Arial" w:hint="cs"/>
          <w:noProof w:val="0"/>
          <w:rtl/>
        </w:rPr>
        <w:t xml:space="preserve">והוחלט </w:t>
      </w:r>
      <w:r>
        <w:rPr>
          <w:rFonts w:ascii="Arial" w:hAnsi="Arial" w:hint="cs"/>
          <w:noProof w:val="0"/>
          <w:rtl/>
        </w:rPr>
        <w:t>"</w:t>
      </w:r>
      <w:r w:rsidRPr="007122A3">
        <w:rPr>
          <w:rFonts w:ascii="Arial" w:hAnsi="Arial" w:hint="cs"/>
          <w:b/>
          <w:bCs/>
          <w:noProof w:val="0"/>
          <w:rtl/>
        </w:rPr>
        <w:t>אנו מחליטים לדחות את העתירה לעניין מזונות הקטינים</w:t>
      </w:r>
      <w:r>
        <w:rPr>
          <w:rFonts w:ascii="Arial" w:hAnsi="Arial" w:hint="cs"/>
          <w:noProof w:val="0"/>
          <w:rtl/>
        </w:rPr>
        <w:t>".</w:t>
      </w:r>
    </w:p>
    <w:p w:rsidR="007122A3" w:rsidRDefault="007122A3" w:rsidP="00AA2AB2">
      <w:pPr>
        <w:spacing w:line="360" w:lineRule="auto"/>
        <w:jc w:val="both"/>
        <w:rPr>
          <w:rFonts w:ascii="Arial" w:hAnsi="Arial"/>
          <w:noProof w:val="0"/>
          <w:rtl/>
        </w:rPr>
      </w:pPr>
    </w:p>
    <w:p w:rsidR="00876606" w:rsidRDefault="00876606" w:rsidP="0080151A">
      <w:pPr>
        <w:spacing w:line="360" w:lineRule="auto"/>
        <w:jc w:val="both"/>
        <w:rPr>
          <w:rFonts w:ascii="Arial" w:hAnsi="Arial"/>
          <w:noProof w:val="0"/>
          <w:rtl/>
        </w:rPr>
      </w:pPr>
      <w:r>
        <w:rPr>
          <w:rFonts w:ascii="Arial" w:hAnsi="Arial" w:hint="cs"/>
          <w:noProof w:val="0"/>
          <w:rtl/>
        </w:rPr>
        <w:lastRenderedPageBreak/>
        <w:t>נדמה</w:t>
      </w:r>
      <w:r w:rsidR="0080151A">
        <w:rPr>
          <w:rFonts w:ascii="Arial" w:hAnsi="Arial" w:hint="cs"/>
          <w:noProof w:val="0"/>
          <w:rtl/>
        </w:rPr>
        <w:t>,</w:t>
      </w:r>
      <w:r>
        <w:rPr>
          <w:rFonts w:ascii="Arial" w:hAnsi="Arial" w:hint="cs"/>
          <w:noProof w:val="0"/>
          <w:rtl/>
        </w:rPr>
        <w:t xml:space="preserve"> כי החלטה זו התקבלה לאחר דיון, בהתאם לאשר הוצג בפניהם. ייתכן ואין ההחלטה לרוחה של המשיבה, וייתכן שאינה אף מעמיקה לטעמה, אך, בהינתן האסמכתאות שכן הוצגו לעיוני לבחינה </w:t>
      </w:r>
      <w:r>
        <w:rPr>
          <w:rFonts w:ascii="Arial" w:hAnsi="Arial"/>
          <w:noProof w:val="0"/>
          <w:rtl/>
        </w:rPr>
        <w:t>–</w:t>
      </w:r>
      <w:r>
        <w:rPr>
          <w:rFonts w:ascii="Arial" w:hAnsi="Arial" w:hint="cs"/>
          <w:noProof w:val="0"/>
          <w:rtl/>
        </w:rPr>
        <w:t xml:space="preserve"> ניתן לקבוע כי בפני בית הדין השר</w:t>
      </w:r>
      <w:r w:rsidR="00B86C30">
        <w:rPr>
          <w:rFonts w:ascii="Arial" w:hAnsi="Arial" w:hint="cs"/>
          <w:noProof w:val="0"/>
          <w:rtl/>
        </w:rPr>
        <w:t>עי באה תביעה למזונות הקטינים וזו הוכרעה</w:t>
      </w:r>
      <w:r w:rsidR="007122A3">
        <w:rPr>
          <w:rFonts w:ascii="Arial" w:hAnsi="Arial" w:hint="cs"/>
          <w:noProof w:val="0"/>
          <w:rtl/>
        </w:rPr>
        <w:t>, לאחר דיון בה</w:t>
      </w:r>
      <w:r w:rsidR="00B86C30">
        <w:rPr>
          <w:rFonts w:ascii="Arial" w:hAnsi="Arial" w:hint="cs"/>
          <w:noProof w:val="0"/>
          <w:rtl/>
        </w:rPr>
        <w:t>.</w:t>
      </w:r>
    </w:p>
    <w:p w:rsidR="00C67916" w:rsidRDefault="00C67916" w:rsidP="00AA2AB2">
      <w:pPr>
        <w:spacing w:line="360" w:lineRule="auto"/>
        <w:jc w:val="both"/>
        <w:rPr>
          <w:rFonts w:ascii="Arial" w:hAnsi="Arial"/>
          <w:noProof w:val="0"/>
          <w:rtl/>
        </w:rPr>
      </w:pPr>
    </w:p>
    <w:p w:rsidR="00B86C30" w:rsidRDefault="00B86C30" w:rsidP="00AA2AB2">
      <w:pPr>
        <w:spacing w:line="360" w:lineRule="auto"/>
        <w:jc w:val="both"/>
        <w:rPr>
          <w:rFonts w:ascii="Arial" w:hAnsi="Arial"/>
          <w:noProof w:val="0"/>
          <w:rtl/>
        </w:rPr>
      </w:pPr>
      <w:r>
        <w:rPr>
          <w:rFonts w:ascii="Arial" w:hAnsi="Arial" w:hint="cs"/>
          <w:noProof w:val="0"/>
          <w:rtl/>
        </w:rPr>
        <w:t>לא נטען שעל החלטה זו הוגשה השגה.</w:t>
      </w:r>
    </w:p>
    <w:p w:rsidR="00EE4933" w:rsidRDefault="00EE4933" w:rsidP="00AA2AB2">
      <w:pPr>
        <w:spacing w:line="360" w:lineRule="auto"/>
        <w:jc w:val="both"/>
        <w:rPr>
          <w:rFonts w:ascii="Arial" w:hAnsi="Arial"/>
          <w:noProof w:val="0"/>
          <w:rtl/>
        </w:rPr>
      </w:pPr>
    </w:p>
    <w:p w:rsidR="00726A0C" w:rsidRPr="00EE4933" w:rsidRDefault="00726A0C" w:rsidP="00C67916">
      <w:pPr>
        <w:spacing w:line="360" w:lineRule="auto"/>
        <w:jc w:val="both"/>
        <w:rPr>
          <w:rFonts w:ascii="David" w:hAnsi="David"/>
          <w:noProof w:val="0"/>
          <w:rtl/>
        </w:rPr>
      </w:pPr>
      <w:r w:rsidRPr="00EE4933">
        <w:rPr>
          <w:rFonts w:ascii="David" w:hAnsi="David"/>
          <w:rtl/>
        </w:rPr>
        <w:t xml:space="preserve">לפיכך, מקום בו התקיים דיון ובירור – עתירה </w:t>
      </w:r>
      <w:r w:rsidRPr="00EE4933">
        <w:rPr>
          <w:rFonts w:ascii="David" w:hAnsi="David"/>
          <w:sz w:val="28"/>
          <w:rtl/>
        </w:rPr>
        <w:t>לשינוי</w:t>
      </w:r>
      <w:r w:rsidRPr="00EE4933">
        <w:rPr>
          <w:rFonts w:ascii="David" w:hAnsi="David"/>
          <w:rtl/>
        </w:rPr>
        <w:t xml:space="preserve"> ההכרעה שנתקבלה, </w:t>
      </w:r>
      <w:r w:rsidRPr="00EE4933">
        <w:rPr>
          <w:rFonts w:ascii="David" w:hAnsi="David"/>
          <w:sz w:val="28"/>
          <w:rtl/>
        </w:rPr>
        <w:t>לתיקונה</w:t>
      </w:r>
      <w:r w:rsidRPr="00EE4933">
        <w:rPr>
          <w:rFonts w:ascii="David" w:hAnsi="David"/>
          <w:rtl/>
        </w:rPr>
        <w:t xml:space="preserve"> או </w:t>
      </w:r>
      <w:r w:rsidRPr="00EE4933">
        <w:rPr>
          <w:rFonts w:ascii="David" w:hAnsi="David"/>
          <w:sz w:val="28"/>
          <w:rtl/>
        </w:rPr>
        <w:t>לביטולה</w:t>
      </w:r>
      <w:r w:rsidRPr="00EE4933">
        <w:rPr>
          <w:rFonts w:ascii="David" w:hAnsi="David"/>
          <w:rtl/>
        </w:rPr>
        <w:t>, היא בסמכותה הנמשכת של הערכאה שתחת ידה יצאה הכרעה זו</w:t>
      </w:r>
      <w:r w:rsidRPr="00EE4933">
        <w:rPr>
          <w:rFonts w:ascii="David" w:hAnsi="David"/>
          <w:noProof w:val="0"/>
          <w:rtl/>
        </w:rPr>
        <w:t>. כיום המשיבה טוענת כי משעזבה את ג</w:t>
      </w:r>
      <w:r w:rsidR="00C67916">
        <w:rPr>
          <w:rFonts w:ascii="David" w:hAnsi="David" w:hint="cs"/>
          <w:noProof w:val="0"/>
          <w:rtl/>
        </w:rPr>
        <w:t xml:space="preserve">. </w:t>
      </w:r>
      <w:r w:rsidR="00EE4933" w:rsidRPr="00EE4933">
        <w:rPr>
          <w:rFonts w:ascii="David" w:hAnsi="David"/>
          <w:noProof w:val="0"/>
          <w:rtl/>
        </w:rPr>
        <w:t>ו</w:t>
      </w:r>
      <w:r w:rsidR="001566DD">
        <w:rPr>
          <w:rFonts w:ascii="David" w:hAnsi="David" w:hint="cs"/>
          <w:noProof w:val="0"/>
          <w:rtl/>
        </w:rPr>
        <w:t xml:space="preserve">בין </w:t>
      </w:r>
      <w:r w:rsidR="0025546A">
        <w:rPr>
          <w:rFonts w:ascii="David" w:hAnsi="David" w:hint="cs"/>
          <w:noProof w:val="0"/>
          <w:rtl/>
        </w:rPr>
        <w:t>היתר, מש</w:t>
      </w:r>
      <w:r w:rsidR="00EE4933" w:rsidRPr="00EE4933">
        <w:rPr>
          <w:rFonts w:ascii="David" w:hAnsi="David"/>
          <w:noProof w:val="0"/>
          <w:rtl/>
        </w:rPr>
        <w:t xml:space="preserve">אינה עוד מקבלת קצבה בעבור הילדים, מצויים הם "בחרפת רעב" וזאת מזה שנתיים. </w:t>
      </w:r>
      <w:r w:rsidR="00D42989">
        <w:rPr>
          <w:rFonts w:ascii="David" w:hAnsi="David" w:hint="cs"/>
          <w:noProof w:val="0"/>
          <w:rtl/>
        </w:rPr>
        <w:t>מכאן שהתנאי הראשון מתקיים.</w:t>
      </w:r>
    </w:p>
    <w:p w:rsidR="00876606" w:rsidRDefault="00876606" w:rsidP="00AA2AB2">
      <w:pPr>
        <w:spacing w:line="360" w:lineRule="auto"/>
        <w:jc w:val="both"/>
        <w:rPr>
          <w:rFonts w:ascii="Arial" w:hAnsi="Arial"/>
          <w:noProof w:val="0"/>
          <w:rtl/>
        </w:rPr>
      </w:pPr>
    </w:p>
    <w:p w:rsidR="00EE4933" w:rsidRPr="005338EC" w:rsidRDefault="00EE4933" w:rsidP="00315471">
      <w:pPr>
        <w:spacing w:line="360" w:lineRule="auto"/>
        <w:jc w:val="both"/>
        <w:rPr>
          <w:rFonts w:ascii="David" w:hAnsi="David"/>
          <w:noProof w:val="0"/>
          <w:rtl/>
        </w:rPr>
      </w:pPr>
      <w:r w:rsidRPr="005338EC">
        <w:rPr>
          <w:rFonts w:ascii="David" w:hAnsi="David"/>
          <w:rtl/>
        </w:rPr>
        <w:t xml:space="preserve">בנוסף תוכן העתירה שלפני, פסיקת מזונות זמניים, בטענה כי המבקש אינו משלם מזונות הקטינים מזה שנים וזהות הצדדים ואף – מלמדים ומעידים על </w:t>
      </w:r>
      <w:r w:rsidRPr="005338EC">
        <w:rPr>
          <w:rFonts w:ascii="David" w:hAnsi="David"/>
          <w:sz w:val="28"/>
          <w:rtl/>
        </w:rPr>
        <w:t>קרבה העולה כדי זהות</w:t>
      </w:r>
      <w:r w:rsidRPr="005338EC">
        <w:rPr>
          <w:rFonts w:ascii="David" w:hAnsi="David"/>
          <w:rtl/>
        </w:rPr>
        <w:t xml:space="preserve"> מוחלטת בין הסוגיות. זו שנידונה והוכרעה בשנת 2015 לזו שעניינה נדרש בבקשת המשיבה. מכאן שגם התנאי השני מתקיים.</w:t>
      </w:r>
    </w:p>
    <w:p w:rsidR="00D42989" w:rsidRDefault="00D42989" w:rsidP="00EE4933">
      <w:pPr>
        <w:spacing w:line="360" w:lineRule="auto"/>
        <w:jc w:val="both"/>
        <w:rPr>
          <w:rFonts w:ascii="Arial" w:hAnsi="Arial"/>
          <w:noProof w:val="0"/>
          <w:rtl/>
        </w:rPr>
      </w:pPr>
    </w:p>
    <w:p w:rsidR="00D42989" w:rsidRDefault="00D42989" w:rsidP="0080151A">
      <w:pPr>
        <w:spacing w:line="360" w:lineRule="auto"/>
        <w:jc w:val="both"/>
        <w:rPr>
          <w:rFonts w:ascii="Arial" w:hAnsi="Arial"/>
          <w:noProof w:val="0"/>
          <w:rtl/>
        </w:rPr>
      </w:pPr>
      <w:r>
        <w:rPr>
          <w:rFonts w:ascii="Arial" w:hAnsi="Arial" w:hint="cs"/>
          <w:noProof w:val="0"/>
          <w:rtl/>
        </w:rPr>
        <w:t>לנוכח כלל האמור יש לקבוע</w:t>
      </w:r>
      <w:r w:rsidR="0080151A">
        <w:rPr>
          <w:rFonts w:ascii="Arial" w:hAnsi="Arial" w:hint="cs"/>
          <w:noProof w:val="0"/>
          <w:rtl/>
        </w:rPr>
        <w:t>,</w:t>
      </w:r>
      <w:r>
        <w:rPr>
          <w:rFonts w:ascii="Arial" w:hAnsi="Arial" w:hint="cs"/>
          <w:noProof w:val="0"/>
          <w:rtl/>
        </w:rPr>
        <w:t xml:space="preserve"> כי הסמכות לדון בבקשת המשיבה לפסוק מזונות לקטינים, נתונה לבית הדין השרעי.</w:t>
      </w:r>
      <w:r w:rsidR="0080151A">
        <w:rPr>
          <w:rFonts w:ascii="Arial" w:hAnsi="Arial" w:hint="cs"/>
          <w:noProof w:val="0"/>
          <w:rtl/>
        </w:rPr>
        <w:t xml:space="preserve"> </w:t>
      </w:r>
    </w:p>
    <w:p w:rsidR="007122A3" w:rsidRDefault="007122A3" w:rsidP="003A0F35">
      <w:pPr>
        <w:spacing w:line="360" w:lineRule="auto"/>
        <w:jc w:val="both"/>
        <w:rPr>
          <w:rFonts w:ascii="Arial" w:hAnsi="Arial"/>
          <w:noProof w:val="0"/>
          <w:rtl/>
        </w:rPr>
      </w:pPr>
    </w:p>
    <w:p w:rsidR="0019095C" w:rsidRDefault="007122A3" w:rsidP="00C67916">
      <w:pPr>
        <w:spacing w:line="360" w:lineRule="auto"/>
        <w:jc w:val="both"/>
        <w:rPr>
          <w:rFonts w:ascii="Arial" w:hAnsi="Arial"/>
          <w:noProof w:val="0"/>
          <w:rtl/>
        </w:rPr>
      </w:pPr>
      <w:r>
        <w:rPr>
          <w:rFonts w:ascii="Arial" w:hAnsi="Arial" w:hint="cs"/>
          <w:noProof w:val="0"/>
          <w:rtl/>
        </w:rPr>
        <w:t xml:space="preserve">למעלה מן הצורך </w:t>
      </w:r>
      <w:r w:rsidR="0019095C">
        <w:rPr>
          <w:rFonts w:ascii="Arial" w:hAnsi="Arial" w:hint="cs"/>
          <w:noProof w:val="0"/>
          <w:rtl/>
        </w:rPr>
        <w:t xml:space="preserve">מצאתי להוסיף, כי </w:t>
      </w:r>
      <w:r w:rsidR="00993D95">
        <w:rPr>
          <w:rFonts w:ascii="Arial" w:hAnsi="Arial" w:hint="cs"/>
          <w:noProof w:val="0"/>
          <w:rtl/>
        </w:rPr>
        <w:t xml:space="preserve">אף אם היה מקום לדון בבקשה במסגרת ההליך שנפתח על ידי המשיבה, הוא יישוב הסכסוך - </w:t>
      </w:r>
      <w:r w:rsidR="0019095C">
        <w:rPr>
          <w:rFonts w:ascii="Arial" w:hAnsi="Arial" w:hint="cs"/>
          <w:noProof w:val="0"/>
          <w:rtl/>
        </w:rPr>
        <w:t xml:space="preserve">נדמה </w:t>
      </w:r>
      <w:r w:rsidR="00993D95">
        <w:rPr>
          <w:rFonts w:ascii="Arial" w:hAnsi="Arial" w:hint="cs"/>
          <w:noProof w:val="0"/>
          <w:rtl/>
        </w:rPr>
        <w:t>ש</w:t>
      </w:r>
      <w:r w:rsidR="0019095C">
        <w:rPr>
          <w:rFonts w:ascii="Arial" w:hAnsi="Arial" w:hint="cs"/>
          <w:noProof w:val="0"/>
          <w:rtl/>
        </w:rPr>
        <w:t xml:space="preserve">הבקשה </w:t>
      </w:r>
      <w:r w:rsidR="00C318FA">
        <w:rPr>
          <w:rFonts w:ascii="Arial" w:hAnsi="Arial" w:hint="cs"/>
          <w:noProof w:val="0"/>
          <w:rtl/>
        </w:rPr>
        <w:t xml:space="preserve">לפסיקת מזונות </w:t>
      </w:r>
      <w:r w:rsidR="00993D95">
        <w:rPr>
          <w:rFonts w:ascii="Arial" w:hAnsi="Arial" w:hint="cs"/>
          <w:noProof w:val="0"/>
          <w:rtl/>
        </w:rPr>
        <w:t>אינה</w:t>
      </w:r>
      <w:r w:rsidR="0019095C">
        <w:rPr>
          <w:rFonts w:ascii="Arial" w:hAnsi="Arial" w:hint="cs"/>
          <w:noProof w:val="0"/>
          <w:rtl/>
        </w:rPr>
        <w:t xml:space="preserve"> עומדת בדרישות הוראות הדין, כאשר עסקינן ב</w:t>
      </w:r>
      <w:r w:rsidR="00C318FA">
        <w:rPr>
          <w:rFonts w:ascii="Arial" w:hAnsi="Arial" w:hint="cs"/>
          <w:noProof w:val="0"/>
          <w:rtl/>
        </w:rPr>
        <w:t xml:space="preserve">טענה כי מזונות הקטינים אינם משולמים </w:t>
      </w:r>
      <w:r w:rsidR="0019095C">
        <w:rPr>
          <w:rFonts w:ascii="Arial" w:hAnsi="Arial" w:hint="cs"/>
          <w:noProof w:val="0"/>
          <w:rtl/>
        </w:rPr>
        <w:t xml:space="preserve">תקופה </w:t>
      </w:r>
      <w:r w:rsidR="00C318FA">
        <w:rPr>
          <w:rFonts w:ascii="Arial" w:hAnsi="Arial" w:hint="cs"/>
          <w:noProof w:val="0"/>
          <w:rtl/>
        </w:rPr>
        <w:t xml:space="preserve">של </w:t>
      </w:r>
      <w:r w:rsidR="003A0F35">
        <w:rPr>
          <w:rFonts w:ascii="Arial" w:hAnsi="Arial" w:hint="cs"/>
          <w:noProof w:val="0"/>
          <w:rtl/>
        </w:rPr>
        <w:t>בין כ</w:t>
      </w:r>
      <w:r w:rsidR="0019095C">
        <w:rPr>
          <w:rFonts w:ascii="Arial" w:hAnsi="Arial" w:hint="cs"/>
          <w:noProof w:val="0"/>
          <w:rtl/>
        </w:rPr>
        <w:t xml:space="preserve">שנתיים, בהם המשיבה </w:t>
      </w:r>
      <w:r w:rsidR="0019095C">
        <w:rPr>
          <w:rFonts w:ascii="Arial" w:hAnsi="Arial" w:hint="cs"/>
          <w:noProof w:val="0"/>
          <w:rtl/>
        </w:rPr>
        <w:lastRenderedPageBreak/>
        <w:t>לא קיבלה מזונות בעבור הקטינים (בין אם מהמבקש ובין אם מג</w:t>
      </w:r>
      <w:r w:rsidR="00C67916">
        <w:rPr>
          <w:rFonts w:ascii="Arial" w:hAnsi="Arial" w:hint="cs"/>
          <w:noProof w:val="0"/>
          <w:rtl/>
        </w:rPr>
        <w:t>.</w:t>
      </w:r>
      <w:r w:rsidR="0019095C">
        <w:rPr>
          <w:rFonts w:ascii="Arial" w:hAnsi="Arial" w:hint="cs"/>
          <w:noProof w:val="0"/>
          <w:rtl/>
        </w:rPr>
        <w:t xml:space="preserve"> בדמות קצבה) </w:t>
      </w:r>
      <w:r w:rsidR="003A0F35">
        <w:rPr>
          <w:rFonts w:ascii="Arial" w:hAnsi="Arial" w:hint="cs"/>
          <w:noProof w:val="0"/>
          <w:rtl/>
        </w:rPr>
        <w:t>ובין 10 שנים, ממועד עזיבת</w:t>
      </w:r>
      <w:r w:rsidR="00C318FA">
        <w:rPr>
          <w:rFonts w:ascii="Arial" w:hAnsi="Arial" w:hint="cs"/>
          <w:noProof w:val="0"/>
          <w:rtl/>
        </w:rPr>
        <w:t xml:space="preserve"> המבקש</w:t>
      </w:r>
      <w:r w:rsidR="00993D95">
        <w:rPr>
          <w:rFonts w:ascii="Arial" w:hAnsi="Arial" w:hint="cs"/>
          <w:noProof w:val="0"/>
          <w:rtl/>
        </w:rPr>
        <w:t xml:space="preserve"> את ג</w:t>
      </w:r>
      <w:r w:rsidR="00C67916">
        <w:rPr>
          <w:rFonts w:ascii="Arial" w:hAnsi="Arial" w:hint="cs"/>
          <w:noProof w:val="0"/>
          <w:rtl/>
        </w:rPr>
        <w:t>.</w:t>
      </w:r>
      <w:r w:rsidR="00993D95">
        <w:rPr>
          <w:rFonts w:ascii="Arial" w:hAnsi="Arial" w:hint="cs"/>
          <w:noProof w:val="0"/>
          <w:rtl/>
        </w:rPr>
        <w:t xml:space="preserve"> ולא ברור מדוע אך כעת פנתה לבית המשפט.</w:t>
      </w:r>
    </w:p>
    <w:p w:rsidR="00C2150E" w:rsidRDefault="003A0F35" w:rsidP="003A0F35">
      <w:pPr>
        <w:spacing w:line="360" w:lineRule="auto"/>
        <w:jc w:val="both"/>
        <w:rPr>
          <w:rFonts w:ascii="Arial" w:hAnsi="Arial"/>
          <w:noProof w:val="0"/>
          <w:rtl/>
        </w:rPr>
      </w:pPr>
      <w:r>
        <w:rPr>
          <w:rFonts w:ascii="Arial" w:hAnsi="Arial" w:hint="cs"/>
          <w:noProof w:val="0"/>
          <w:rtl/>
        </w:rPr>
        <w:t>סעד לקביעת מזונות דחופים במסגרת בקשה ליישוב סכסוך, י</w:t>
      </w:r>
      <w:r w:rsidR="00C318FA">
        <w:rPr>
          <w:rFonts w:ascii="Arial" w:hAnsi="Arial" w:hint="cs"/>
          <w:noProof w:val="0"/>
          <w:rtl/>
        </w:rPr>
        <w:t>י</w:t>
      </w:r>
      <w:r>
        <w:rPr>
          <w:rFonts w:ascii="Arial" w:hAnsi="Arial" w:hint="cs"/>
          <w:noProof w:val="0"/>
          <w:rtl/>
        </w:rPr>
        <w:t xml:space="preserve">נתן במקרים חריגים בהם ההמתנה לישיבת המהו"ת, יכולה לגרום לנזק לצדדים או לילדים </w:t>
      </w:r>
      <w:r>
        <w:rPr>
          <w:rFonts w:ascii="Arial" w:hAnsi="Arial"/>
          <w:noProof w:val="0"/>
          <w:rtl/>
        </w:rPr>
        <w:t>–</w:t>
      </w:r>
      <w:r>
        <w:rPr>
          <w:rFonts w:ascii="Arial" w:hAnsi="Arial" w:hint="cs"/>
          <w:noProof w:val="0"/>
          <w:rtl/>
        </w:rPr>
        <w:t xml:space="preserve"> ובנסיבות המקרה</w:t>
      </w:r>
      <w:r w:rsidR="00C318FA">
        <w:rPr>
          <w:rFonts w:ascii="Arial" w:hAnsi="Arial" w:hint="cs"/>
          <w:noProof w:val="0"/>
          <w:rtl/>
        </w:rPr>
        <w:t xml:space="preserve"> שלפני, לא מצאתי כי זה המקרה, עת עסקינן בתקופה ארוכה ש</w:t>
      </w:r>
      <w:r w:rsidR="001566DD">
        <w:rPr>
          <w:rFonts w:ascii="Arial" w:hAnsi="Arial" w:hint="cs"/>
          <w:noProof w:val="0"/>
          <w:rtl/>
        </w:rPr>
        <w:t>א</w:t>
      </w:r>
      <w:r w:rsidR="00C318FA">
        <w:rPr>
          <w:rFonts w:ascii="Arial" w:hAnsi="Arial" w:hint="cs"/>
          <w:noProof w:val="0"/>
          <w:rtl/>
        </w:rPr>
        <w:t>ין לה הסבר בפי המבקשת.</w:t>
      </w:r>
    </w:p>
    <w:p w:rsidR="009B383B" w:rsidRDefault="009B383B" w:rsidP="003A0F35">
      <w:pPr>
        <w:spacing w:line="360" w:lineRule="auto"/>
        <w:jc w:val="both"/>
        <w:rPr>
          <w:rFonts w:ascii="Arial" w:hAnsi="Arial"/>
          <w:noProof w:val="0"/>
          <w:rtl/>
        </w:rPr>
      </w:pPr>
    </w:p>
    <w:p w:rsidR="00967314" w:rsidRDefault="00DD05C5" w:rsidP="009B383B">
      <w:pPr>
        <w:spacing w:line="360" w:lineRule="auto"/>
        <w:jc w:val="both"/>
        <w:rPr>
          <w:rFonts w:ascii="Arial" w:hAnsi="Arial"/>
          <w:noProof w:val="0"/>
          <w:rtl/>
        </w:rPr>
      </w:pPr>
      <w:r>
        <w:rPr>
          <w:rFonts w:ascii="Arial" w:hAnsi="Arial" w:hint="cs"/>
          <w:noProof w:val="0"/>
          <w:rtl/>
        </w:rPr>
        <w:t xml:space="preserve">אציין כי בעבר הוגשה בקשות ותביעות שונות על ידי המשיבה, לבית המשפט לענייני משפחה, במסגרתו ניתנו החלטות הקובעות העדר סמכות מקומית והן עניינית, בסוגיית עיכוב יציאה של הקטינים והנפקת דרכונם, </w:t>
      </w:r>
      <w:r w:rsidR="00352C7D">
        <w:rPr>
          <w:rFonts w:ascii="Arial" w:hAnsi="Arial" w:hint="cs"/>
          <w:noProof w:val="0"/>
          <w:rtl/>
        </w:rPr>
        <w:t xml:space="preserve">מגורי הקטינים </w:t>
      </w:r>
      <w:r w:rsidR="00967314">
        <w:rPr>
          <w:rFonts w:ascii="Arial" w:hAnsi="Arial" w:hint="cs"/>
          <w:noProof w:val="0"/>
          <w:rtl/>
        </w:rPr>
        <w:t>ותיקי ישוב סכסוך שלמעט הגעת הצדדים לישיבה בתיק אחד, לא הגיעו הם לישיבות בתיקים הנוספים.</w:t>
      </w:r>
    </w:p>
    <w:p w:rsidR="00C318FA" w:rsidRDefault="00967314" w:rsidP="009B383B">
      <w:pPr>
        <w:spacing w:line="360" w:lineRule="auto"/>
        <w:jc w:val="both"/>
        <w:rPr>
          <w:rFonts w:ascii="Arial" w:hAnsi="Arial"/>
          <w:noProof w:val="0"/>
          <w:rtl/>
        </w:rPr>
      </w:pPr>
      <w:r>
        <w:rPr>
          <w:rFonts w:ascii="Arial" w:hAnsi="Arial" w:hint="cs"/>
          <w:noProof w:val="0"/>
          <w:rtl/>
        </w:rPr>
        <w:t>בכל התיקים הועלתה שאלת הסמכות ובין אם בהכרעה או בהסכמה, נסגרו התיקים ולא נידונו.</w:t>
      </w:r>
    </w:p>
    <w:p w:rsidR="00967314" w:rsidRDefault="00967314">
      <w:pPr>
        <w:spacing w:line="360" w:lineRule="auto"/>
        <w:jc w:val="both"/>
        <w:rPr>
          <w:rFonts w:ascii="Arial" w:hAnsi="Arial"/>
          <w:noProof w:val="0"/>
          <w:rtl/>
        </w:rPr>
      </w:pPr>
    </w:p>
    <w:p w:rsidR="00967314" w:rsidRDefault="00967314" w:rsidP="00967314">
      <w:pPr>
        <w:spacing w:line="360" w:lineRule="auto"/>
        <w:jc w:val="both"/>
        <w:rPr>
          <w:rFonts w:ascii="Arial" w:hAnsi="Arial"/>
          <w:noProof w:val="0"/>
          <w:rtl/>
        </w:rPr>
      </w:pPr>
      <w:r>
        <w:rPr>
          <w:rFonts w:ascii="Arial" w:hAnsi="Arial" w:hint="cs"/>
          <w:noProof w:val="0"/>
          <w:rtl/>
        </w:rPr>
        <w:t>מכלל האמור אני מקבלת את בקשת המבקש ומורה על סילוק על הסף של הבקשה ליישוב סכסוך ופסיקת מזונות, בהעדר סמכות עני</w:t>
      </w:r>
      <w:r w:rsidR="00883C0C">
        <w:rPr>
          <w:rFonts w:ascii="Arial" w:hAnsi="Arial" w:hint="cs"/>
          <w:noProof w:val="0"/>
          <w:rtl/>
        </w:rPr>
        <w:t>ינית</w:t>
      </w:r>
      <w:r>
        <w:rPr>
          <w:rFonts w:ascii="Arial" w:hAnsi="Arial" w:hint="cs"/>
          <w:noProof w:val="0"/>
          <w:rtl/>
        </w:rPr>
        <w:t>.</w:t>
      </w:r>
    </w:p>
    <w:p w:rsidR="0080151A" w:rsidRDefault="0080151A" w:rsidP="00967314">
      <w:pPr>
        <w:spacing w:line="360" w:lineRule="auto"/>
        <w:jc w:val="both"/>
        <w:rPr>
          <w:rFonts w:ascii="Arial" w:hAnsi="Arial"/>
          <w:noProof w:val="0"/>
          <w:rtl/>
        </w:rPr>
      </w:pPr>
    </w:p>
    <w:p w:rsidR="0080151A" w:rsidRDefault="0080151A" w:rsidP="00967314">
      <w:pPr>
        <w:spacing w:line="360" w:lineRule="auto"/>
        <w:jc w:val="both"/>
        <w:rPr>
          <w:rFonts w:ascii="Arial" w:hAnsi="Arial"/>
          <w:noProof w:val="0"/>
          <w:rtl/>
        </w:rPr>
      </w:pPr>
      <w:r>
        <w:rPr>
          <w:rFonts w:ascii="Arial" w:hAnsi="Arial" w:hint="cs"/>
          <w:noProof w:val="0"/>
          <w:rtl/>
        </w:rPr>
        <w:t>המשיבה תישא בהוצאות ההליך בסך 3,000 ₪.</w:t>
      </w:r>
    </w:p>
    <w:p w:rsidR="00883C0C" w:rsidRDefault="0080151A" w:rsidP="00967314">
      <w:pPr>
        <w:spacing w:line="360" w:lineRule="auto"/>
        <w:jc w:val="both"/>
        <w:rPr>
          <w:rFonts w:ascii="Arial" w:hAnsi="Arial"/>
          <w:noProof w:val="0"/>
          <w:rtl/>
        </w:rPr>
      </w:pPr>
      <w:r>
        <w:rPr>
          <w:rFonts w:ascii="Arial" w:hAnsi="Arial" w:hint="cs"/>
          <w:noProof w:val="0"/>
          <w:rtl/>
        </w:rPr>
        <w:t>המזכירות תסגור את התיק.</w:t>
      </w:r>
    </w:p>
    <w:p w:rsidR="006E743B" w:rsidRDefault="006E743B" w:rsidP="00967314">
      <w:pPr>
        <w:spacing w:line="360" w:lineRule="auto"/>
        <w:jc w:val="both"/>
        <w:rPr>
          <w:rFonts w:ascii="Arial" w:hAnsi="Arial"/>
          <w:noProof w:val="0"/>
          <w:rtl/>
        </w:rPr>
      </w:pPr>
    </w:p>
    <w:p w:rsidR="006E743B" w:rsidRPr="006E743B" w:rsidRDefault="006E743B" w:rsidP="006E743B">
      <w:pPr>
        <w:spacing w:line="360" w:lineRule="auto"/>
        <w:jc w:val="both"/>
        <w:rPr>
          <w:rFonts w:ascii="David" w:hAnsi="David"/>
          <w:b/>
          <w:bCs/>
        </w:rPr>
      </w:pPr>
      <w:r w:rsidRPr="006E743B">
        <w:rPr>
          <w:rFonts w:ascii="David" w:hAnsi="David"/>
          <w:b/>
          <w:bCs/>
          <w:rtl/>
        </w:rPr>
        <w:t>פסק הדין ניתן לפרסום ללא פרטים מזהים, על פי הכללים בעניין זה.</w:t>
      </w:r>
    </w:p>
    <w:p w:rsidR="0080151A" w:rsidRDefault="0080151A" w:rsidP="00967314">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אוגוסט 2024</w:t>
          </w:r>
        </w:sdtContent>
      </w:sdt>
      <w:r w:rsidR="00005C8B">
        <w:rPr>
          <w:rFonts w:ascii="Arial" w:hAnsi="Arial"/>
          <w:noProof w:val="0"/>
          <w:rtl/>
        </w:rPr>
        <w:t>, בהעדר הצדדים.</w:t>
      </w:r>
    </w:p>
    <w:p w:rsidR="00C43648" w:rsidRDefault="009E66F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50664916"/>
        </w:sdtPr>
        <w:sdtEndPr/>
        <w:sdtContent>
          <w:r w:rsidR="00A008A7">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22"/>
      <w:footerReference w:type="default" r:id="rId2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6FD" w:rsidRDefault="009E66FD">
      <w:r>
        <w:separator/>
      </w:r>
    </w:p>
  </w:endnote>
  <w:endnote w:type="continuationSeparator" w:id="0">
    <w:p w:rsidR="009E66FD" w:rsidRDefault="009E6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roman"/>
    <w:pitch w:val="default"/>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A65C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A65C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6FD" w:rsidRDefault="009E66FD">
      <w:r>
        <w:separator/>
      </w:r>
    </w:p>
  </w:footnote>
  <w:footnote w:type="continuationSeparator" w:id="0">
    <w:p w:rsidR="009E66FD" w:rsidRDefault="009E6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E66FD" w:rsidP="00C67916">
          <w:pPr>
            <w:rPr>
              <w:b/>
              <w:bCs/>
              <w:noProof w:val="0"/>
              <w:sz w:val="26"/>
              <w:szCs w:val="26"/>
              <w:rtl/>
            </w:rPr>
          </w:pPr>
          <w:sdt>
            <w:sdtPr>
              <w:rPr>
                <w:rtl/>
              </w:rPr>
              <w:alias w:val="1170"/>
              <w:tag w:val="1170"/>
              <w:id w:val="1066377040"/>
              <w:text w:multiLine="1"/>
            </w:sdtPr>
            <w:sdtEndPr/>
            <w:sdtContent>
              <w:r w:rsidR="00064651">
                <w:rPr>
                  <w:b/>
                  <w:bCs/>
                  <w:noProof w:val="0"/>
                  <w:sz w:val="26"/>
                  <w:szCs w:val="26"/>
                  <w:rtl/>
                </w:rPr>
                <w:t>י"ס</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21225-07-24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ע</w:t>
              </w:r>
              <w:r w:rsidR="00C67916">
                <w:rPr>
                  <w:rFonts w:hint="cs"/>
                  <w:b/>
                  <w:bCs/>
                  <w:noProof w:val="0"/>
                  <w:sz w:val="26"/>
                  <w:szCs w:val="26"/>
                  <w:rtl/>
                </w:rPr>
                <w:t>. נ</w:t>
              </w:r>
              <w:r w:rsidR="00064651">
                <w:rPr>
                  <w:b/>
                  <w:bCs/>
                  <w:noProof w:val="0"/>
                  <w:sz w:val="26"/>
                  <w:szCs w:val="26"/>
                  <w:rtl/>
                </w:rPr>
                <w:t>' א</w:t>
              </w:r>
              <w:r w:rsidR="00C67916">
                <w:rPr>
                  <w:rFonts w:hint="cs"/>
                  <w:b/>
                  <w:bCs/>
                  <w:noProof w:val="0"/>
                  <w:sz w:val="26"/>
                  <w:szCs w:val="26"/>
                  <w:rtl/>
                </w:rPr>
                <w:t>.</w:t>
              </w:r>
              <w:r w:rsidR="00064651">
                <w:rPr>
                  <w:b/>
                  <w:bCs/>
                  <w:noProof w:val="0"/>
                  <w:sz w:val="26"/>
                  <w:szCs w:val="26"/>
                  <w:rtl/>
                </w:rPr>
                <w:t>ע</w:t>
              </w:r>
              <w:r w:rsidR="00C67916">
                <w:rPr>
                  <w:rFonts w:hint="cs"/>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F7CFF"/>
    <w:multiLevelType w:val="multilevel"/>
    <w:tmpl w:val="489020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8011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80119&amp;lt;/CaseID&amp;gt;_x000d__x000a_        &amp;lt;CaseMonth&amp;gt;7&amp;lt;/CaseMonth&amp;gt;_x000d__x000a_        &amp;lt;CaseYear&amp;gt;2024&amp;lt;/CaseYear&amp;gt;_x000d__x000a_        &amp;lt;CaseNumber&amp;gt;21225&amp;lt;/CaseNumber&amp;gt;_x000d__x000a_        &amp;lt;NumeratorGroupID&amp;gt;1&amp;lt;/NumeratorGroupID&amp;gt;_x000d__x000a_        &amp;lt;CaseName&amp;gt;עאמר נ&amp;#39; אבו עגאג&amp;lt;/CaseName&amp;gt;_x000d__x000a_        &amp;lt;CourtID&amp;gt;41&amp;lt;/CourtID&amp;gt;_x000d__x000a_        &amp;lt;CaseTypeID&amp;gt;10043&amp;lt;/CaseTypeID&amp;gt;_x000d__x000a_        &amp;lt;CaseInterestID&amp;gt;10464&amp;lt;/CaseInterestID&amp;gt;_x000d__x000a_        &amp;lt;CaseJudgeName&amp;gt;דיאנה פסו-ואגו&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225-07-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7-07T07:00: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80119&amp;lt;/CaseID&amp;gt;_x000d__x000a_        &amp;lt;CaseMonth&amp;gt;7&amp;lt;/CaseMonth&amp;gt;_x000d__x000a_        &amp;lt;CaseYear&amp;gt;2024&amp;lt;/CaseYear&amp;gt;_x000d__x000a_        &amp;lt;CaseNumber&amp;gt;21225&amp;lt;/CaseNumber&amp;gt;_x000d__x000a_        &amp;lt;NumeratorGroupID&amp;gt;1&amp;lt;/NumeratorGroupID&amp;gt;_x000d__x000a_        &amp;lt;CaseName&amp;gt;עאמר נ&amp;#39; אבו עגאג&amp;lt;/CaseName&amp;gt;_x000d__x000a_        &amp;lt;CourtID&amp;gt;41&amp;lt;/CourtID&amp;gt;_x000d__x000a_        &amp;lt;CaseTypeID&amp;gt;10043&amp;lt;/CaseTypeID&amp;gt;_x000d__x000a_        &amp;lt;CaseInterestID&amp;gt;10464&amp;lt;/CaseInterestID&amp;gt;_x000d__x000a_        &amp;lt;CaseJudgeName&amp;gt;דיאנה פסו-ואגו&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225-07-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7-07T07:00: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44178&amp;lt;/DecisionID&amp;gt;_x000d__x000a_        &amp;lt;DecisionNumber&amp;gt;3&amp;lt;/DecisionNumber&amp;gt;_x000d__x000a_        &amp;lt;DecisionName&amp;gt;החלטה על בקשה של משיב 1 בקשה לדחיית/מחיקת הליך י&amp;quot;ס&amp;lt;/DecisionName&amp;gt;_x000d__x000a_        &amp;lt;DecisionStatusID&amp;gt;1&amp;lt;/DecisionStatusID&amp;gt;_x000d__x000a_        &amp;lt;DecisionStatusChangeDate&amp;gt;2024-08-22T18:01:24.877+03:00&amp;lt;/DecisionStatusChangeDate&amp;gt;_x000d__x000a_        &amp;lt;DecisionSignatureDate&amp;gt;2024-08-22T17:02:48.753+03:00&amp;lt;/DecisionSignatureDate&amp;gt;_x000d__x000a_        &amp;lt;DecisionSignatureUserID&amp;gt;033828203@GOV.IL&amp;lt;/DecisionSignatureUserID&amp;gt;_x000d__x000a_        &amp;lt;DecisionCreateDate&amp;gt;2024-08-22T17:08:01.283+03:00&amp;lt;/DecisionCreateDate&amp;gt;_x000d__x000a_        &amp;lt;DecisionChangeDate&amp;gt;2024-08-22T18:01:24.93+03: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34208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DecisionDisplayName&amp;gt;החלטה על בקשה של משיב 1 בקשה לדחיית/מחיקת הליך י&amp;quot;ס&amp;lt;/DecisionDisplayName&amp;gt;_x000d__x000a_        &amp;lt;IsScanned&amp;gt;false&amp;lt;/IsScanned&amp;gt;_x000d__x000a_        &amp;lt;DecisionSignatureUserName&amp;gt;דיאנה פסו-ואג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4544178&amp;lt;/DecisionID&amp;gt;_x000d__x000a_        &amp;lt;CaseID&amp;gt;81380119&amp;lt;/CaseID&amp;gt;_x000d__x000a_        &amp;lt;IsOriginal&amp;gt;true&amp;lt;/IsOriginal&amp;gt;_x000d__x000a_        &amp;lt;IsDeleted&amp;gt;false&amp;lt;/IsDeleted&amp;gt;_x000d__x000a_        &amp;lt;CaseName&amp;gt;עאמר נ&amp;#39; אבו עגאג&amp;lt;/CaseName&amp;gt;_x000d__x000a_        &amp;lt;CaseDisplayIdentifier&amp;gt;21225-07-24 י&amp;quot;ס&amp;lt;/CaseDisplayIdentifier&amp;gt;_x000d__x000a_      &amp;lt;/dt_DecisionCase&amp;gt;_x000d__x000a_      &amp;lt;dt_DecisionMotion diffgr:id=&amp;quot;dt_DecisionMotion1&amp;quot; msdata:rowOrder=&amp;quot;0&amp;quot;&amp;gt;_x000d__x000a_        &amp;lt;DecisionID&amp;gt;154544178&amp;lt;/DecisionID&amp;gt;_x000d__x000a_        &amp;lt;MotionID&amp;gt;109355655&amp;lt;/MotionID&amp;gt;_x000d__x000a_        &amp;lt;IsOriginalMotion&amp;gt;true&amp;lt;/IsOriginalMotion&amp;gt;_x000d__x000a_        &amp;lt;MotionName&amp;gt;בקשה של משיב 1 בקשה לדחיית/מחיקת הליך י&amp;quot;ס&amp;lt;/MotionName&amp;gt;_x000d__x000a_        &amp;lt;MotionOpenDate&amp;gt;2024-08-04T13:56:12.013+03:00&amp;lt;/MotionOpenDate&amp;gt;_x000d__x000a_        &amp;lt;CaseID&amp;gt;81380119&amp;lt;/CaseID&amp;gt;_x000d__x000a_        &amp;lt;CaseDisplayIdentifier&amp;gt;21225-07-24 י&amp;quot;ס&amp;lt;/CaseDisplayIdentifier&amp;gt;_x000d__x000a_        &amp;lt;ProcessNumber&amp;gt;3&amp;lt;/ProcessNumber&amp;gt;_x000d__x000a_        &amp;lt;ListOfProcessIds&amp;gt;3&amp;lt;/ListOfProcessIds&amp;gt;_x000d__x000a_      &amp;lt;/dt_DecisionMotion&amp;gt;_x000d__x000a_    &amp;lt;/DecisionDS&amp;gt;_x000d__x000a_  &amp;lt;/diffgr:diffgram&amp;gt;_x000d__x000a_&amp;lt;/DecisionDS&amp;gt;"/>
    <w:docVar w:name="DecisionID" w:val="154544178"/>
    <w:docVar w:name="WordClientAssemblyName" w:val="NGCS.Decision.ClientWordBL"/>
    <w:docVar w:name="WordClientClassName" w:val="NGCS.Decision.ClientWordBL.DecisionClient"/>
  </w:docVars>
  <w:rsids>
    <w:rsidRoot w:val="00694556"/>
    <w:rsid w:val="00000062"/>
    <w:rsid w:val="0000226B"/>
    <w:rsid w:val="00005C8B"/>
    <w:rsid w:val="000229A1"/>
    <w:rsid w:val="00034E1E"/>
    <w:rsid w:val="000529D2"/>
    <w:rsid w:val="000564AB"/>
    <w:rsid w:val="00056996"/>
    <w:rsid w:val="00064651"/>
    <w:rsid w:val="00064FBD"/>
    <w:rsid w:val="00082AB2"/>
    <w:rsid w:val="000906FE"/>
    <w:rsid w:val="00094778"/>
    <w:rsid w:val="00096AF7"/>
    <w:rsid w:val="000B344B"/>
    <w:rsid w:val="000C3B0F"/>
    <w:rsid w:val="000C3B60"/>
    <w:rsid w:val="000C42B7"/>
    <w:rsid w:val="000E0DD2"/>
    <w:rsid w:val="000E3AF1"/>
    <w:rsid w:val="000F0BC8"/>
    <w:rsid w:val="000F0DD6"/>
    <w:rsid w:val="00104760"/>
    <w:rsid w:val="00107E6D"/>
    <w:rsid w:val="0011194C"/>
    <w:rsid w:val="0011424C"/>
    <w:rsid w:val="001173C6"/>
    <w:rsid w:val="001263B1"/>
    <w:rsid w:val="001367BC"/>
    <w:rsid w:val="00144D2A"/>
    <w:rsid w:val="0014653E"/>
    <w:rsid w:val="001566DD"/>
    <w:rsid w:val="00180519"/>
    <w:rsid w:val="0019095C"/>
    <w:rsid w:val="00191C82"/>
    <w:rsid w:val="001A65CD"/>
    <w:rsid w:val="001A7680"/>
    <w:rsid w:val="001C4003"/>
    <w:rsid w:val="001C7DB6"/>
    <w:rsid w:val="001D4DBF"/>
    <w:rsid w:val="001E75CA"/>
    <w:rsid w:val="002265FF"/>
    <w:rsid w:val="00234943"/>
    <w:rsid w:val="0025452F"/>
    <w:rsid w:val="0025546A"/>
    <w:rsid w:val="002654F3"/>
    <w:rsid w:val="00271B56"/>
    <w:rsid w:val="0028443A"/>
    <w:rsid w:val="002C0888"/>
    <w:rsid w:val="002C344E"/>
    <w:rsid w:val="002C3F4A"/>
    <w:rsid w:val="002E75E9"/>
    <w:rsid w:val="00307A6A"/>
    <w:rsid w:val="00307C40"/>
    <w:rsid w:val="00315471"/>
    <w:rsid w:val="00320433"/>
    <w:rsid w:val="003230C7"/>
    <w:rsid w:val="00327E50"/>
    <w:rsid w:val="0033597A"/>
    <w:rsid w:val="00343D89"/>
    <w:rsid w:val="00352C7D"/>
    <w:rsid w:val="00362612"/>
    <w:rsid w:val="0036743F"/>
    <w:rsid w:val="003715DD"/>
    <w:rsid w:val="003823E0"/>
    <w:rsid w:val="003A0F35"/>
    <w:rsid w:val="003A4521"/>
    <w:rsid w:val="003B0D9C"/>
    <w:rsid w:val="003D1C8C"/>
    <w:rsid w:val="003D7D1F"/>
    <w:rsid w:val="0040096C"/>
    <w:rsid w:val="00414F1F"/>
    <w:rsid w:val="00415957"/>
    <w:rsid w:val="0043125D"/>
    <w:rsid w:val="0043502B"/>
    <w:rsid w:val="004443AC"/>
    <w:rsid w:val="00444B02"/>
    <w:rsid w:val="00451E28"/>
    <w:rsid w:val="00462C62"/>
    <w:rsid w:val="00465D36"/>
    <w:rsid w:val="00481DAD"/>
    <w:rsid w:val="00494B0A"/>
    <w:rsid w:val="004C17EE"/>
    <w:rsid w:val="004C4BDF"/>
    <w:rsid w:val="004D1187"/>
    <w:rsid w:val="004D193F"/>
    <w:rsid w:val="004D3AA0"/>
    <w:rsid w:val="004E1987"/>
    <w:rsid w:val="004E2E15"/>
    <w:rsid w:val="004E6E3C"/>
    <w:rsid w:val="00520898"/>
    <w:rsid w:val="00523621"/>
    <w:rsid w:val="00524986"/>
    <w:rsid w:val="005268F6"/>
    <w:rsid w:val="005338EC"/>
    <w:rsid w:val="00534284"/>
    <w:rsid w:val="00547DB7"/>
    <w:rsid w:val="00565DD2"/>
    <w:rsid w:val="005E3EE4"/>
    <w:rsid w:val="005F4F09"/>
    <w:rsid w:val="0061431B"/>
    <w:rsid w:val="00622BAA"/>
    <w:rsid w:val="006306CF"/>
    <w:rsid w:val="00644E9A"/>
    <w:rsid w:val="00671BD5"/>
    <w:rsid w:val="00676CB9"/>
    <w:rsid w:val="006805C1"/>
    <w:rsid w:val="00686C21"/>
    <w:rsid w:val="006931C1"/>
    <w:rsid w:val="00694556"/>
    <w:rsid w:val="00695163"/>
    <w:rsid w:val="006C30C5"/>
    <w:rsid w:val="006C4820"/>
    <w:rsid w:val="006D3B31"/>
    <w:rsid w:val="006D6691"/>
    <w:rsid w:val="006E0D96"/>
    <w:rsid w:val="006E1A53"/>
    <w:rsid w:val="006E743B"/>
    <w:rsid w:val="006F56E6"/>
    <w:rsid w:val="00704EDA"/>
    <w:rsid w:val="007122A3"/>
    <w:rsid w:val="00721122"/>
    <w:rsid w:val="00726A0C"/>
    <w:rsid w:val="00753019"/>
    <w:rsid w:val="00754801"/>
    <w:rsid w:val="00761441"/>
    <w:rsid w:val="00795365"/>
    <w:rsid w:val="0079692F"/>
    <w:rsid w:val="007A351D"/>
    <w:rsid w:val="007B7765"/>
    <w:rsid w:val="007C5BDD"/>
    <w:rsid w:val="007D45E3"/>
    <w:rsid w:val="007E6115"/>
    <w:rsid w:val="007F4609"/>
    <w:rsid w:val="0080151A"/>
    <w:rsid w:val="00814468"/>
    <w:rsid w:val="008176A1"/>
    <w:rsid w:val="00820005"/>
    <w:rsid w:val="00844318"/>
    <w:rsid w:val="008603E4"/>
    <w:rsid w:val="0086061C"/>
    <w:rsid w:val="00863F5D"/>
    <w:rsid w:val="00870890"/>
    <w:rsid w:val="00873602"/>
    <w:rsid w:val="00875D12"/>
    <w:rsid w:val="00876606"/>
    <w:rsid w:val="00881CCE"/>
    <w:rsid w:val="00883C0C"/>
    <w:rsid w:val="0088479D"/>
    <w:rsid w:val="00896889"/>
    <w:rsid w:val="00897DAF"/>
    <w:rsid w:val="008C5714"/>
    <w:rsid w:val="008D10B2"/>
    <w:rsid w:val="00903896"/>
    <w:rsid w:val="00906F3D"/>
    <w:rsid w:val="0094424E"/>
    <w:rsid w:val="00955642"/>
    <w:rsid w:val="009622DF"/>
    <w:rsid w:val="0096493F"/>
    <w:rsid w:val="00967314"/>
    <w:rsid w:val="00967DFF"/>
    <w:rsid w:val="00993D95"/>
    <w:rsid w:val="00994341"/>
    <w:rsid w:val="00996935"/>
    <w:rsid w:val="009B383B"/>
    <w:rsid w:val="009D1A48"/>
    <w:rsid w:val="009E1CE7"/>
    <w:rsid w:val="009E4EA5"/>
    <w:rsid w:val="009E66FD"/>
    <w:rsid w:val="009F164B"/>
    <w:rsid w:val="009F323C"/>
    <w:rsid w:val="00A008A7"/>
    <w:rsid w:val="00A31EAD"/>
    <w:rsid w:val="00A3392B"/>
    <w:rsid w:val="00A45ED9"/>
    <w:rsid w:val="00A85E34"/>
    <w:rsid w:val="00A94B64"/>
    <w:rsid w:val="00AA2AB2"/>
    <w:rsid w:val="00AA3229"/>
    <w:rsid w:val="00AA7596"/>
    <w:rsid w:val="00AB3759"/>
    <w:rsid w:val="00AB5E52"/>
    <w:rsid w:val="00AC1527"/>
    <w:rsid w:val="00AC30D6"/>
    <w:rsid w:val="00AC3B02"/>
    <w:rsid w:val="00AC3B7B"/>
    <w:rsid w:val="00AC5209"/>
    <w:rsid w:val="00AE0E34"/>
    <w:rsid w:val="00AE6BE6"/>
    <w:rsid w:val="00AE729E"/>
    <w:rsid w:val="00AE7752"/>
    <w:rsid w:val="00AF7FDA"/>
    <w:rsid w:val="00B43E51"/>
    <w:rsid w:val="00B5356E"/>
    <w:rsid w:val="00B630D5"/>
    <w:rsid w:val="00B809AD"/>
    <w:rsid w:val="00B80CBD"/>
    <w:rsid w:val="00B86096"/>
    <w:rsid w:val="00B86C30"/>
    <w:rsid w:val="00B964D9"/>
    <w:rsid w:val="00BA0A7C"/>
    <w:rsid w:val="00BA517C"/>
    <w:rsid w:val="00BB3D05"/>
    <w:rsid w:val="00BB4636"/>
    <w:rsid w:val="00BB73BE"/>
    <w:rsid w:val="00BC2D89"/>
    <w:rsid w:val="00BC58B1"/>
    <w:rsid w:val="00BD6531"/>
    <w:rsid w:val="00BE05B2"/>
    <w:rsid w:val="00BF1908"/>
    <w:rsid w:val="00BF594C"/>
    <w:rsid w:val="00BF5994"/>
    <w:rsid w:val="00C2150E"/>
    <w:rsid w:val="00C22D93"/>
    <w:rsid w:val="00C23458"/>
    <w:rsid w:val="00C31120"/>
    <w:rsid w:val="00C318FA"/>
    <w:rsid w:val="00C34482"/>
    <w:rsid w:val="00C43648"/>
    <w:rsid w:val="00C50A9F"/>
    <w:rsid w:val="00C642FA"/>
    <w:rsid w:val="00C67916"/>
    <w:rsid w:val="00C737B4"/>
    <w:rsid w:val="00C84096"/>
    <w:rsid w:val="00CC7622"/>
    <w:rsid w:val="00CD608F"/>
    <w:rsid w:val="00CE2507"/>
    <w:rsid w:val="00CF6BB7"/>
    <w:rsid w:val="00D04AA4"/>
    <w:rsid w:val="00D27982"/>
    <w:rsid w:val="00D33B86"/>
    <w:rsid w:val="00D42989"/>
    <w:rsid w:val="00D44968"/>
    <w:rsid w:val="00D53924"/>
    <w:rsid w:val="00D55D0C"/>
    <w:rsid w:val="00D8480E"/>
    <w:rsid w:val="00D9019F"/>
    <w:rsid w:val="00D96D8C"/>
    <w:rsid w:val="00DA6649"/>
    <w:rsid w:val="00DB4FB5"/>
    <w:rsid w:val="00DC1259"/>
    <w:rsid w:val="00DC1BD2"/>
    <w:rsid w:val="00DC2571"/>
    <w:rsid w:val="00DC487C"/>
    <w:rsid w:val="00DD05C5"/>
    <w:rsid w:val="00DE1E7D"/>
    <w:rsid w:val="00DE21C8"/>
    <w:rsid w:val="00DE6BF6"/>
    <w:rsid w:val="00E04E84"/>
    <w:rsid w:val="00E06722"/>
    <w:rsid w:val="00E1068A"/>
    <w:rsid w:val="00E25884"/>
    <w:rsid w:val="00E25B55"/>
    <w:rsid w:val="00E31C2B"/>
    <w:rsid w:val="00E5426A"/>
    <w:rsid w:val="00E54642"/>
    <w:rsid w:val="00E54CD9"/>
    <w:rsid w:val="00E80CBE"/>
    <w:rsid w:val="00E910C1"/>
    <w:rsid w:val="00E962E3"/>
    <w:rsid w:val="00EB6C79"/>
    <w:rsid w:val="00EC37E9"/>
    <w:rsid w:val="00EC5CCE"/>
    <w:rsid w:val="00EE4933"/>
    <w:rsid w:val="00EF55ED"/>
    <w:rsid w:val="00F038D8"/>
    <w:rsid w:val="00F06995"/>
    <w:rsid w:val="00F13623"/>
    <w:rsid w:val="00F44D1D"/>
    <w:rsid w:val="00F84B6D"/>
    <w:rsid w:val="00F957E8"/>
    <w:rsid w:val="00FA311A"/>
    <w:rsid w:val="00FA4729"/>
    <w:rsid w:val="00FA5FDA"/>
    <w:rsid w:val="00FA7DD7"/>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NormalWeb">
    <w:name w:val="Normal (Web)"/>
    <w:basedOn w:val="a"/>
    <w:uiPriority w:val="99"/>
    <w:unhideWhenUsed/>
    <w:rsid w:val="00DE21C8"/>
    <w:pPr>
      <w:bidi w:val="0"/>
      <w:spacing w:before="100" w:beforeAutospacing="1" w:after="100" w:afterAutospacing="1"/>
    </w:pPr>
    <w:rPr>
      <w:rFonts w:cs="Times New Roman"/>
      <w:noProof w:val="0"/>
    </w:rPr>
  </w:style>
  <w:style w:type="character" w:styleId="Hyperlink">
    <w:name w:val="Hyperlink"/>
    <w:basedOn w:val="a0"/>
    <w:semiHidden/>
    <w:unhideWhenUsed/>
    <w:rsid w:val="00DE21C8"/>
    <w:rPr>
      <w:color w:val="0000FF"/>
      <w:u w:val="single"/>
    </w:rPr>
  </w:style>
  <w:style w:type="character" w:customStyle="1" w:styleId="Ruller4">
    <w:name w:val="Ruller4 תו"/>
    <w:link w:val="Ruller40"/>
    <w:locked/>
    <w:rsid w:val="00CE2507"/>
    <w:rPr>
      <w:rFonts w:ascii="Arial TUR" w:hAnsi="Arial TUR" w:cs="FrankRuehl"/>
      <w:spacing w:val="10"/>
      <w:sz w:val="22"/>
      <w:szCs w:val="28"/>
    </w:rPr>
  </w:style>
  <w:style w:type="paragraph" w:customStyle="1" w:styleId="Ruller40">
    <w:name w:val="Ruller4"/>
    <w:basedOn w:val="a"/>
    <w:link w:val="Ruller4"/>
    <w:rsid w:val="00CE2507"/>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Ruller5">
    <w:name w:val="Ruller5 תו"/>
    <w:link w:val="Ruller50"/>
    <w:locked/>
    <w:rsid w:val="002654F3"/>
    <w:rPr>
      <w:rFonts w:ascii="Arial TUR" w:hAnsi="Arial TUR" w:cs="FrankRuehl"/>
      <w:spacing w:val="10"/>
      <w:sz w:val="22"/>
      <w:szCs w:val="28"/>
    </w:rPr>
  </w:style>
  <w:style w:type="paragraph" w:customStyle="1" w:styleId="Ruller50">
    <w:name w:val="Ruller5"/>
    <w:basedOn w:val="a"/>
    <w:link w:val="Ruller5"/>
    <w:rsid w:val="002654F3"/>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styleId="ad">
    <w:name w:val="List Paragraph"/>
    <w:basedOn w:val="a"/>
    <w:uiPriority w:val="34"/>
    <w:qFormat/>
    <w:rsid w:val="006E743B"/>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77887">
      <w:bodyDiv w:val="1"/>
      <w:marLeft w:val="0"/>
      <w:marRight w:val="0"/>
      <w:marTop w:val="0"/>
      <w:marBottom w:val="0"/>
      <w:divBdr>
        <w:top w:val="none" w:sz="0" w:space="0" w:color="auto"/>
        <w:left w:val="none" w:sz="0" w:space="0" w:color="auto"/>
        <w:bottom w:val="none" w:sz="0" w:space="0" w:color="auto"/>
        <w:right w:val="none" w:sz="0" w:space="0" w:color="auto"/>
      </w:divBdr>
    </w:div>
    <w:div w:id="238951063">
      <w:bodyDiv w:val="1"/>
      <w:marLeft w:val="0"/>
      <w:marRight w:val="0"/>
      <w:marTop w:val="0"/>
      <w:marBottom w:val="0"/>
      <w:divBdr>
        <w:top w:val="none" w:sz="0" w:space="0" w:color="auto"/>
        <w:left w:val="none" w:sz="0" w:space="0" w:color="auto"/>
        <w:bottom w:val="none" w:sz="0" w:space="0" w:color="auto"/>
        <w:right w:val="none" w:sz="0" w:space="0" w:color="auto"/>
      </w:divBdr>
    </w:div>
    <w:div w:id="1006786213">
      <w:bodyDiv w:val="1"/>
      <w:marLeft w:val="0"/>
      <w:marRight w:val="0"/>
      <w:marTop w:val="0"/>
      <w:marBottom w:val="0"/>
      <w:divBdr>
        <w:top w:val="none" w:sz="0" w:space="0" w:color="auto"/>
        <w:left w:val="none" w:sz="0" w:space="0" w:color="auto"/>
        <w:bottom w:val="none" w:sz="0" w:space="0" w:color="auto"/>
        <w:right w:val="none" w:sz="0" w:space="0" w:color="auto"/>
      </w:divBdr>
    </w:div>
    <w:div w:id="107435037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548411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0665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6218237" TargetMode="External"/><Relationship Id="rId18" Type="http://schemas.openxmlformats.org/officeDocument/2006/relationships/hyperlink" Target="http://www.nevo.co.il/case/621823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jpg"/><Relationship Id="rId7" Type="http://schemas.openxmlformats.org/officeDocument/2006/relationships/webSettings" Target="webSettings.xml"/><Relationship Id="rId12" Type="http://schemas.openxmlformats.org/officeDocument/2006/relationships/hyperlink" Target="http://www.nevo.co.il/case/6244363" TargetMode="External"/><Relationship Id="rId17" Type="http://schemas.openxmlformats.org/officeDocument/2006/relationships/hyperlink" Target="http://www.nevo.co.il/case/6246792" TargetMode="External"/><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5920299"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6218237"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case/6218237" TargetMode="External"/><Relationship Id="rId23" Type="http://schemas.openxmlformats.org/officeDocument/2006/relationships/footer" Target="footer1.xml"/><Relationship Id="rId10" Type="http://schemas.openxmlformats.org/officeDocument/2006/relationships/hyperlink" Target="http://www.nevo.co.il/case/6244363" TargetMode="External"/><Relationship Id="rId19" Type="http://schemas.openxmlformats.org/officeDocument/2006/relationships/hyperlink" Target="http://www.nevo.co.il/case/605402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6218237"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33948" w:rsidP="00433948">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roman"/>
    <w:pitch w:val="default"/>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33948"/>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06A7C"/>
    <w:rsid w:val="00AA7CE3"/>
    <w:rsid w:val="00B42D7E"/>
    <w:rsid w:val="00B45677"/>
    <w:rsid w:val="00B91FA3"/>
    <w:rsid w:val="00BD04AA"/>
    <w:rsid w:val="00BE6557"/>
    <w:rsid w:val="00C96C06"/>
    <w:rsid w:val="00D3469D"/>
    <w:rsid w:val="00DB598D"/>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3394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רענן פלץ</FullName>
        <FirstName>רענן</FirstName>
        <LastName>פלץ</LastName>
        <PartyPropertyName/>
        <AuthenticationTypeAndNumber>מ.ר. 66492</AuthenticationTypeAndNumber>
        <RepresentatedOrRepresentativesNames>וגדאן אבו עגאג</RepresentatedOrRepresentativesNames>
        <RepresentatedOrRepresentativesCount>1</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275918923</CasePartyID>
        <PartyTypeID>2</PartyTypeID>
        <ActivityStatusID>1</ActivityStatusID>
        <PartyAliasID>23</PartyAliasID>
        <PartyAliasName>בא כוח משיבים</PartyAliasName>
        <LegalEntityID>72773928</LegalEntityID>
        <CaseLegalEntityID>131711774</CaseLegalEntityID>
        <AuthenticationTypeID>4</AuthenticationTypeID>
        <AuthenticationTypeName>מ.ר.</AuthenticationTypeName>
        <LegalEntityNumber>66492</LegalEntityNumber>
        <IsMainPartyType>true</IsMainPartyType>
        <CaseDisplayIdentifier>21225-07-24</CaseDisplayIdentifier>
        <CaseTypeID>10043</CaseTypeID>
        <CaseTypeName>יישוב סכסוך (י"ס)</CaseTypeName>
        <CaseName>עאמר נ' אבו עגאג</CaseName>
        <FullAddress>הקנאים 31/30 ערד </FullAddress>
        <EmailAddress>raanan.adv@gmail.com</EmailAddress>
        <MotionID>0</MotionID>
        <CasePleaID>0</CasePleaID>
        <LinkedCaseID>0</LinkedCaseID>
        <PartyID>2</PartyID>
        <CasePartyCategoryID>2</CasePartyCategoryID>
        <LegalEntityAddressID>88897041</LegalEntityAddressID>
        <LegalEntityEmailAddressID>68317213</LegalEntityEmailAddressID>
        <PleaTypeID>5</PleaTypeID>
        <LawyerOfficeName>משרד עו"ד רענן פלץ</LawyerOfficeName>
        <LawyerOfficeID>72773929</LawyerOfficeID>
        <GroupPartyAlias/>
        <IsConverted>false</IsConverted>
        <LegalEntityNameID>76972761</LegalEntityNameID>
        <RepresentatedNamesOfAssistant/>
        <LegalEntityTypeID>4</LegalEntityTypeID>
        <IsVerdictExists>false</IsVerdictExists>
        <IsAsirAzir>false</IsAsirAzir>
        <MainAndSecSpec/>
        <IsPublicationProhibited>false</IsPublicationProhibited>
        <PublicationProhibitedFullName>רענן פלץ</PublicationProhibitedFullName>
      </CaseParties>
      <CaseParties>
        <PartyTypeName>צד</PartyTypeName>
        <ProceedingType>בקשות</ProceedingType>
        <PleaName>בקשה של משיב 1 בקשה לדחיית/מחיקת הליך י"ס</PleaName>
        <PartyBelonging>צד א'</PartyBelonging>
        <RoleName>מבקש 1</RoleName>
        <IsSubProceeding>TRUE</IsSubProceeding>
        <FullName>וגדאן אבו עגאג</FullName>
        <FirstName>וגדאן</FirstName>
        <LastName>אבו עגאג</LastName>
        <PartyPropertyName/>
        <AuthenticationTypeAndNumber>ת"ז 040544256</AuthenticationTypeAndNumber>
        <RepresentatedOrRepresentativesNames>רענן פלץ</RepresentatedOrRepresentativesNames>
        <RepresentatedOrRepresentativesCount>1</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275931258</CasePartyID>
        <PartyTypeID>1</PartyTypeID>
        <ActivityStatusID>1</ActivityStatusID>
        <PartyAliasID>3</PartyAliasID>
        <PartyAliasName>מבקש</PartyAliasName>
        <OrdinalNumber>1</OrdinalNumber>
        <LegalEntityID>71356306</LegalEntityID>
        <CaseLegalEntityID>129583809</CaseLegalEntityID>
        <AuthenticationTypeID>1</AuthenticationTypeID>
        <AuthenticationTypeName>ת"ז</AuthenticationTypeName>
        <LegalEntityNumber>040544256</LegalEntityNumber>
        <IsMainPartyType>false</IsMainPartyType>
        <CaseDisplayIdentifier>21225-07-24</CaseDisplayIdentifier>
        <CaseTypeID>10043</CaseTypeID>
        <CaseTypeName>יישוב סכסוך (י"ס)</CaseTypeName>
        <CaseName>עאמר נ' אבו עגאג</CaseName>
        <FullAddress>כסיפה </FullAddress>
        <MotionID>109355655</MotionID>
        <CasePleaID>0</CasePleaID>
        <FatherName>נפתלי</FatherName>
        <LinkedCaseID>0</LinkedCaseID>
        <PartyID>1</PartyID>
        <CasePartyCategoryID>4</CasePartyCategoryID>
        <LegalEntityAddressID>89519128</LegalEntityAddressID>
        <PleaTypeID>60</PleaTypeID>
        <GroupPartyAlias>מבקשים</GroupPartyAlias>
        <IsConverted>false</IsConverted>
        <LegalEntityNameID>96826970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וגדאן אבו עגאג</PublicationProhibitedFullName>
      </CaseParties>
      <CaseParties>
        <PartyTypeName>צד</PartyTypeName>
        <ProceedingType>בקשות</ProceedingType>
        <PleaName>בקשה של משיב 1 בקשה לדחיית/מחיקת הליך י"ס</PleaName>
        <PartyBelonging>צד ב'</PartyBelonging>
        <RoleName>משיב 1</RoleName>
        <IsSubProceeding>TRUE</IsSubProceeding>
        <FullName>יקין עאמר</FullName>
        <FirstName>יקין</FirstName>
        <LastName>עאמר</LastName>
        <PartyPropertyName/>
        <AuthenticationTypeAndNumber>ת"ז 301633087</AuthenticationTypeAndNumber>
        <RepresentatedOrRepresentativesNames>יוכי בן חמו תורתי, דנה חאג יחיא</RepresentatedOrRepresentativesNames>
        <RepresentatedOrRepresentativesCount>2</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275931259</CasePartyID>
        <PartyTypeID>1</PartyTypeID>
        <ActivityStatusID>1</ActivityStatusID>
        <PartyAliasID>4</PartyAliasID>
        <PartyAliasName>משיב</PartyAliasName>
        <OrdinalNumber>1</OrdinalNumber>
        <LegalEntityID>73674559</LegalEntityID>
        <CaseLegalEntityID>129583807</CaseLegalEntityID>
        <AuthenticationTypeID>1</AuthenticationTypeID>
        <AuthenticationTypeName>ת"ז</AuthenticationTypeName>
        <LegalEntityNumber>301633087</LegalEntityNumber>
        <IsMainPartyType>false</IsMainPartyType>
        <CaseDisplayIdentifier>21225-07-24</CaseDisplayIdentifier>
        <CaseTypeID>10043</CaseTypeID>
        <CaseTypeName>יישוב סכסוך (י"ס)</CaseTypeName>
        <CaseName>עאמר נ' אבו עגאג</CaseName>
        <FullAddress>כפר קאסם </FullAddress>
        <MotionID>109355655</MotionID>
        <CasePleaID>0</CasePleaID>
        <FatherName>איאד</FatherName>
        <LinkedCaseID>0</LinkedCaseID>
        <PartyID>2</PartyID>
        <CasePartyCategoryID>4</CasePartyCategoryID>
        <LegalEntityAddressID>89519127</LegalEntityAddressID>
        <PleaTypeID>60</PleaTypeID>
        <GroupPartyAlias>משיבים</GroupPartyAlias>
        <IsConverted>false</IsConverted>
        <LegalEntityRegisteredNameID>6223347</LegalEntityRegisteredNameID>
        <LegalEntityNameID>96826969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יקין עאמר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דנה חאג יחיא</FullName>
        <FirstName>דנה</FirstName>
        <LastName>חאג יחיא</LastName>
        <PartyPropertyName/>
        <AuthenticationTypeAndNumber>מ.ר. 91530</AuthenticationTypeAndNumber>
        <RepresentatedOrRepresentativesNames>יקין עאמר</RepresentatedOrRepresentativesNames>
        <RepresentatedOrRepresentativesCount>1</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272496356</CasePartyID>
        <PartyTypeID>2</PartyTypeID>
        <ActivityStatusID>1</ActivityStatusID>
        <PartyAliasID>22</PartyAliasID>
        <PartyAliasName>בא כוח מבקשים</PartyAliasName>
        <OrdinalNumber>1</OrdinalNumber>
        <LegalEntityID>80212542</LegalEntityID>
        <CaseLegalEntityID>129583808</CaseLegalEntityID>
        <AuthenticationTypeID>4</AuthenticationTypeID>
        <AuthenticationTypeName>מ.ר.</AuthenticationTypeName>
        <LegalEntityNumber>91530</LegalEntityNumber>
        <IsMainPartyType>true</IsMainPartyType>
        <CaseDisplayIdentifier>21225-07-24</CaseDisplayIdentifier>
        <CaseTypeID>10043</CaseTypeID>
        <CaseTypeName>יישוב סכסוך (י"ס)</CaseTypeName>
        <CaseName>עאמר נ' אבו עגאג</CaseName>
        <FullAddress>אזור הקאנטרי טייבה </FullAddress>
        <EmailAddress>danah.lawoffice@gmail.com</EmailAddress>
        <MotionID>0</MotionID>
        <CasePleaID>0</CasePleaID>
        <LinkedCaseID>0</LinkedCaseID>
        <PartyID>1</PartyID>
        <CasePartyCategoryID>2</CasePartyCategoryID>
        <LegalEntityAddressID>85987884</LegalEntityAddressID>
        <LegalEntityEmailAddressID>68157160</LegalEntityEmailAddressID>
        <PleaTypeID>5</PleaTypeID>
        <LawyerOfficeName>משרד עו"ד דנה חאג יחיא</LawyerOfficeName>
        <LawyerOfficeID>80212543</LawyerOfficeID>
        <GroupPartyAlias/>
        <IsConverted>false</IsConverted>
        <LegalEntityNameID>92438704</LegalEntityNameID>
        <RepresentatedNamesOfAssistant/>
        <LegalEntityTypeID>4</LegalEntityTypeID>
        <IsVerdictExists>false</IsVerdictExists>
        <IsAsirAzir>false</IsAsirAzir>
        <MainAndSecSpec/>
        <IsPublicationProhibited>false</IsPublicationProhibited>
        <PublicationProhibitedFullName>דנה חאג יחיא</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272496354</CasePartyID>
        <PartyTypeID>3</PartyTypeID>
        <ActivityStatusID>1</ActivityStatusID>
        <OrdinalNumber>1</OrdinalNumber>
        <LegalEntityID>45205473</LegalEntityID>
        <CaseLegalEntityID>129583806</CaseLegalEntityID>
        <AssistantRoleID>8</AssistantRoleID>
        <AuthenticationTypeID>13</AuthenticationTypeID>
        <AuthenticationTypeName>משרדי ממשלה</AuthenticationTypeName>
        <LegalEntityNumber>570000884</LegalEntityNumber>
        <IsMainPartyType>true</IsMainPartyType>
        <CaseDisplayIdentifier>21225-07-24</CaseDisplayIdentifier>
        <CaseTypeID>10043</CaseTypeID>
        <CaseTypeName>יישוב סכסוך (י"ס)</CaseTypeName>
        <CaseName>עאמר נ' אבו עגאג</CaseName>
        <FullAddress>התקווה 5 באר שבע </FullAddress>
        <EmailAddress>Natalia@molsa.gov.il</EmailAddress>
        <MotionID>0</MotionID>
        <CasePleaID>0</CasePleaID>
        <LinkedCaseID>0</LinkedCase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יוכי בן חמו תורתי</FullName>
        <FirstName>יוכי</FirstName>
        <LastName>בן חמו תורתי</LastName>
        <PartyPropertyName/>
        <AuthenticationTypeAndNumber>מ.ר. 64977</AuthenticationTypeAndNumber>
        <RepresentatedOrRepresentativesNames>יקין עאמר</RepresentatedOrRepresentativesNames>
        <RepresentatedOrRepresentativesCount>1</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272496353</CasePartyID>
        <PartyTypeID>2</PartyTypeID>
        <ActivityStatusID>1</ActivityStatusID>
        <PartyAliasID>22</PartyAliasID>
        <PartyAliasName>בא כוח מבקשים</PartyAliasName>
        <OrdinalNumber>2</OrdinalNumber>
        <LegalEntityID>73522684</LegalEntityID>
        <CaseLegalEntityID>129583805</CaseLegalEntityID>
        <AuthenticationTypeID>4</AuthenticationTypeID>
        <AuthenticationTypeName>מ.ר.</AuthenticationTypeName>
        <LegalEntityNumber>64977</LegalEntityNumber>
        <IsMainPartyType>true</IsMainPartyType>
        <CaseDisplayIdentifier>21225-07-24</CaseDisplayIdentifier>
        <CaseTypeID>10043</CaseTypeID>
        <CaseTypeName>יישוב סכסוך (י"ס)</CaseTypeName>
        <CaseName>עאמר נ' אבו עגאג</CaseName>
        <FullAddress>ויצמן 54 כפר סבא </FullAddress>
        <MotionID>0</MotionID>
        <CasePleaID>0</CasePleaID>
        <LinkedCaseID>0</LinkedCaseID>
        <PartyID>1</PartyID>
        <CasePartyCategoryID>2</CasePartyCategoryID>
        <LegalEntityAddressID>80077619</LegalEntityAddressID>
        <PleaTypeID>5</PleaTypeID>
        <LawyerOfficeName>משרד עו"ד יוכי בן חמו תורתי</LawyerOfficeName>
        <LawyerOfficeID>73522686</LawyerOfficeID>
        <GroupPartyAlias/>
        <IsConverted>false</IsConverted>
        <LegalEntityNameID>78319315</LegalEntityNameID>
        <RepresentatedNamesOfAssistant/>
        <LegalEntityTypeID>4</LegalEntityTypeID>
        <IsVerdictExists>false</IsVerdictExists>
        <IsAsirAzir>false</IsAsirAzir>
        <MainAndSecSpec/>
        <IsPublicationProhibited>false</IsPublicationProhibited>
        <PublicationProhibitedFullName>יוכי בן חמו תורתי</PublicationProhibitedFullName>
      </CaseParties>
    </CasePartiesSelectionDS>
    <DecisionName>החלטה</DecisionName>
    <CourtDisplayName>בית משפט לענייני משפחה בבאר שבע</CourtDisplayName>
    <IsCaseJudgePanel>false</IsCaseJudgePanel>
    <DecisionSignatureDate>2024-08-22T17:02:48.7517241+03:00</DecisionSignatureDate>
    <OpenCaseDate>2024-07-07T07:00:00+03:00</OpenCaseDate>
    <CaseFeeSum>0.000</CaseFeeSum>
    <DecisionTypeID>1</DecisionTypeID>
    <DecisionSignatureUserName>דיאנה פסו-ואגו</DecisionSignatureUserName>
    <MotionID>109355655</MotionID>
    <DecisionSignatureDateHebrew>2024-08-22T17:02:48.7517241+03:00</DecisionSignatureDateHebrew>
    <MotionNumber>3</MotionNumber>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עאמר נ' אבו עגאג</CaseName>
    <DecisionNumberInCase>10</DecisionNumberInCase>
  </dt_Decision>
  <dt_DecisionCase>
    <DecisionID>0</DecisionID>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רענן פלץ</FullName>
        <FirstName>רענן</FirstName>
        <LastName>פלץ</LastName>
        <PartyPropertyName/>
        <AuthenticationTypeAndNumber>מ.ר. 66492</AuthenticationTypeAndNumber>
        <RepresentatedOrRepresentativesNames>וגדאן אבו עגאג</RepresentatedOrRepresentativesNames>
        <RepresentatedOrRepresentativesCount>1</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275918923</CasePartyID>
        <PartyTypeID>2</PartyTypeID>
        <ActivityStatusID>1</ActivityStatusID>
        <PartyAliasID>23</PartyAliasID>
        <PartyAliasName>בא כוח משיבים</PartyAliasName>
        <LegalEntityID>72773928</LegalEntityID>
        <CaseLegalEntityID>131711774</CaseLegalEntityID>
        <AuthenticationTypeID>4</AuthenticationTypeID>
        <AuthenticationTypeName>מ.ר.</AuthenticationTypeName>
        <LegalEntityNumber>66492</LegalEntityNumber>
        <IsMainPartyType>true</IsMainPartyType>
        <CaseDisplayIdentifier>21225-07-24</CaseDisplayIdentifier>
        <CaseTypeID>10043</CaseTypeID>
        <CaseTypeName>יישוב סכסוך (י"ס)</CaseTypeName>
        <CaseName>עאמר נ' אבו עגאג</CaseName>
        <FullAddress>הקנאים 31/30 ערד </FullAddress>
        <EmailAddress>raanan.adv@gmail.com</EmailAddress>
        <MotionID>0</MotionID>
        <CasePleaID>0</CasePleaID>
        <LinkedCaseID>0</LinkedCaseID>
        <PartyID>2</PartyID>
        <CasePartyCategoryID>2</CasePartyCategoryID>
        <LegalEntityAddressID>88897041</LegalEntityAddressID>
        <LegalEntityEmailAddressID>68317213</LegalEntityEmailAddressID>
        <PleaTypeID>5</PleaTypeID>
        <LawyerOfficeName>משרד עו"ד רענן פלץ</LawyerOfficeName>
        <LawyerOfficeID>72773929</LawyerOfficeID>
        <GroupPartyAlias/>
        <IsConverted>false</IsConverted>
        <LegalEntityNameID>76972761</LegalEntityNameID>
        <RepresentatedNamesOfAssistant/>
        <LegalEntityTypeID>4</LegalEntityTypeID>
        <IsVerdictExists>false</IsVerdictExists>
        <IsAsirAzir>false</IsAsirAzir>
        <MainAndSecSpec/>
        <IsPublicationProhibited>false</IsPublicationProhibited>
        <PublicationProhibitedFullName>רענן פלץ</PublicationProhibitedFullName>
      </CaseParties>
      <CaseParties>
        <PartyTypeName>צד</PartyTypeName>
        <ProceedingType>בקשות</ProceedingType>
        <PleaName>בקשה של משיב 1 בקשה לדחיית/מחיקת הליך י"ס</PleaName>
        <PartyBelonging>צד א'</PartyBelonging>
        <RoleName>מבקש 1</RoleName>
        <IsSubProceeding>TRUE</IsSubProceeding>
        <FullName>וגדאן אבו עגאג</FullName>
        <FirstName>וגדאן</FirstName>
        <LastName>אבו עגאג</LastName>
        <PartyPropertyName/>
        <AuthenticationTypeAndNumber>ת"ז 040544256</AuthenticationTypeAndNumber>
        <RepresentatedOrRepresentativesNames>רענן פלץ</RepresentatedOrRepresentativesNames>
        <RepresentatedOrRepresentativesCount>1</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275931258</CasePartyID>
        <PartyTypeID>1</PartyTypeID>
        <ActivityStatusID>1</ActivityStatusID>
        <PartyAliasID>3</PartyAliasID>
        <PartyAliasName>מבקש</PartyAliasName>
        <OrdinalNumber>1</OrdinalNumber>
        <LegalEntityID>71356306</LegalEntityID>
        <CaseLegalEntityID>129583809</CaseLegalEntityID>
        <AuthenticationTypeID>1</AuthenticationTypeID>
        <AuthenticationTypeName>ת"ז</AuthenticationTypeName>
        <LegalEntityNumber>040544256</LegalEntityNumber>
        <IsMainPartyType>false</IsMainPartyType>
        <CaseDisplayIdentifier>21225-07-24</CaseDisplayIdentifier>
        <CaseTypeID>10043</CaseTypeID>
        <CaseTypeName>יישוב סכסוך (י"ס)</CaseTypeName>
        <CaseName>עאמר נ' אבו עגאג</CaseName>
        <FullAddress>כסיפה </FullAddress>
        <MotionID>109355655</MotionID>
        <CasePleaID>0</CasePleaID>
        <FatherName>נפתלי</FatherName>
        <LinkedCaseID>0</LinkedCaseID>
        <PartyID>1</PartyID>
        <CasePartyCategoryID>4</CasePartyCategoryID>
        <LegalEntityAddressID>89519128</LegalEntityAddressID>
        <PleaTypeID>60</PleaTypeID>
        <GroupPartyAlias>מבקשים</GroupPartyAlias>
        <IsConverted>false</IsConverted>
        <LegalEntityNameID>96826970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וגדאן אבו עגאג</PublicationProhibitedFullName>
      </CaseParties>
      <CaseParties>
        <PartyTypeName>צד</PartyTypeName>
        <ProceedingType>בקשות</ProceedingType>
        <PleaName>בקשה של משיב 1 בקשה לדחיית/מחיקת הליך י"ס</PleaName>
        <PartyBelonging>צד ב'</PartyBelonging>
        <RoleName>משיב 1</RoleName>
        <IsSubProceeding>TRUE</IsSubProceeding>
        <FullName>יקין עאמר</FullName>
        <FirstName>יקין</FirstName>
        <LastName>עאמר</LastName>
        <PartyPropertyName/>
        <AuthenticationTypeAndNumber>ת"ז 301633087</AuthenticationTypeAndNumber>
        <RepresentatedOrRepresentativesNames>יוכי בן חמו תורתי, דנה חאג יחיא</RepresentatedOrRepresentativesNames>
        <RepresentatedOrRepresentativesCount>2</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275931259</CasePartyID>
        <PartyTypeID>1</PartyTypeID>
        <ActivityStatusID>1</ActivityStatusID>
        <PartyAliasID>4</PartyAliasID>
        <PartyAliasName>משיב</PartyAliasName>
        <OrdinalNumber>1</OrdinalNumber>
        <LegalEntityID>73674559</LegalEntityID>
        <CaseLegalEntityID>129583807</CaseLegalEntityID>
        <AuthenticationTypeID>1</AuthenticationTypeID>
        <AuthenticationTypeName>ת"ז</AuthenticationTypeName>
        <LegalEntityNumber>301633087</LegalEntityNumber>
        <IsMainPartyType>false</IsMainPartyType>
        <CaseDisplayIdentifier>21225-07-24</CaseDisplayIdentifier>
        <CaseTypeID>10043</CaseTypeID>
        <CaseTypeName>יישוב סכסוך (י"ס)</CaseTypeName>
        <CaseName>עאמר נ' אבו עגאג</CaseName>
        <FullAddress>כפר קאסם </FullAddress>
        <MotionID>109355655</MotionID>
        <CasePleaID>0</CasePleaID>
        <FatherName>איאד</FatherName>
        <LinkedCaseID>0</LinkedCaseID>
        <PartyID>2</PartyID>
        <CasePartyCategoryID>4</CasePartyCategoryID>
        <LegalEntityAddressID>89519127</LegalEntityAddressID>
        <PleaTypeID>60</PleaTypeID>
        <GroupPartyAlias>משיבים</GroupPartyAlias>
        <IsConverted>false</IsConverted>
        <LegalEntityRegisteredNameID>6223347</LegalEntityRegisteredNameID>
        <LegalEntityNameID>96826969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יקין עאמר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דנה חאג יחיא</FullName>
        <FirstName>דנה</FirstName>
        <LastName>חאג יחיא</LastName>
        <PartyPropertyName/>
        <AuthenticationTypeAndNumber>מ.ר. 91530</AuthenticationTypeAndNumber>
        <RepresentatedOrRepresentativesNames>יקין עאמר</RepresentatedOrRepresentativesNames>
        <RepresentatedOrRepresentativesCount>1</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272496356</CasePartyID>
        <PartyTypeID>2</PartyTypeID>
        <ActivityStatusID>1</ActivityStatusID>
        <PartyAliasID>22</PartyAliasID>
        <PartyAliasName>בא כוח מבקשים</PartyAliasName>
        <OrdinalNumber>1</OrdinalNumber>
        <LegalEntityID>80212542</LegalEntityID>
        <CaseLegalEntityID>129583808</CaseLegalEntityID>
        <AuthenticationTypeID>4</AuthenticationTypeID>
        <AuthenticationTypeName>מ.ר.</AuthenticationTypeName>
        <LegalEntityNumber>91530</LegalEntityNumber>
        <IsMainPartyType>true</IsMainPartyType>
        <CaseDisplayIdentifier>21225-07-24</CaseDisplayIdentifier>
        <CaseTypeID>10043</CaseTypeID>
        <CaseTypeName>יישוב סכסוך (י"ס)</CaseTypeName>
        <CaseName>עאמר נ' אבו עגאג</CaseName>
        <FullAddress>אזור הקאנטרי טייבה </FullAddress>
        <EmailAddress>danah.lawoffice@gmail.com</EmailAddress>
        <MotionID>0</MotionID>
        <CasePleaID>0</CasePleaID>
        <LinkedCaseID>0</LinkedCaseID>
        <PartyID>1</PartyID>
        <CasePartyCategoryID>2</CasePartyCategoryID>
        <LegalEntityAddressID>85987884</LegalEntityAddressID>
        <LegalEntityEmailAddressID>68157160</LegalEntityEmailAddressID>
        <PleaTypeID>5</PleaTypeID>
        <LawyerOfficeName>משרד עו"ד דנה חאג יחיא</LawyerOfficeName>
        <LawyerOfficeID>80212543</LawyerOfficeID>
        <GroupPartyAlias/>
        <IsConverted>false</IsConverted>
        <LegalEntityNameID>92438704</LegalEntityNameID>
        <RepresentatedNamesOfAssistant/>
        <LegalEntityTypeID>4</LegalEntityTypeID>
        <IsVerdictExists>false</IsVerdictExists>
        <IsAsirAzir>false</IsAsirAzir>
        <MainAndSecSpec/>
        <IsPublicationProhibited>false</IsPublicationProhibited>
        <PublicationProhibitedFullName>דנה חאג יחיא</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272496354</CasePartyID>
        <PartyTypeID>3</PartyTypeID>
        <ActivityStatusID>1</ActivityStatusID>
        <OrdinalNumber>1</OrdinalNumber>
        <LegalEntityID>45205473</LegalEntityID>
        <CaseLegalEntityID>129583806</CaseLegalEntityID>
        <AssistantRoleID>8</AssistantRoleID>
        <AuthenticationTypeID>13</AuthenticationTypeID>
        <AuthenticationTypeName>משרדי ממשלה</AuthenticationTypeName>
        <LegalEntityNumber>570000884</LegalEntityNumber>
        <IsMainPartyType>true</IsMainPartyType>
        <CaseDisplayIdentifier>21225-07-24</CaseDisplayIdentifier>
        <CaseTypeID>10043</CaseTypeID>
        <CaseTypeName>יישוב סכסוך (י"ס)</CaseTypeName>
        <CaseName>עאמר נ' אבו עגאג</CaseName>
        <FullAddress>התקווה 5 באר שבע </FullAddress>
        <EmailAddress>Natalia@molsa.gov.il</EmailAddress>
        <MotionID>0</MotionID>
        <CasePleaID>0</CasePleaID>
        <LinkedCaseID>0</LinkedCase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יוכי בן חמו תורתי</FullName>
        <FirstName>יוכי</FirstName>
        <LastName>בן חמו תורתי</LastName>
        <PartyPropertyName/>
        <AuthenticationTypeAndNumber>מ.ר. 64977</AuthenticationTypeAndNumber>
        <RepresentatedOrRepresentativesNames>יקין עאמר</RepresentatedOrRepresentativesNames>
        <RepresentatedOrRepresentativesCount>1</RepresentatedOrRepresentativesCount>
        <InvitedBy/>
        <CaseID>81380119</CaseID>
        <CaseJudicialPersonPresentationDS>
          <CaseJudicalPersonActive>
            <CaseID>81380119</CaseID>
            <MotionID>109355655</MotionID>
            <JudicialPersonID>033828203@GOV.IL</JudicialPersonID>
            <JudicialPersonTypeID>1</JudicialPersonTypeID>
            <JudicialTypeID>1</JudicialTypeID>
            <IsChairman>false</IsChairman>
            <TreatmentStartDate>2024-08-04T13:56:12.09+03:00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272496353</CasePartyID>
        <PartyTypeID>2</PartyTypeID>
        <ActivityStatusID>1</ActivityStatusID>
        <PartyAliasID>22</PartyAliasID>
        <PartyAliasName>בא כוח מבקשים</PartyAliasName>
        <OrdinalNumber>2</OrdinalNumber>
        <LegalEntityID>73522684</LegalEntityID>
        <CaseLegalEntityID>129583805</CaseLegalEntityID>
        <AuthenticationTypeID>4</AuthenticationTypeID>
        <AuthenticationTypeName>מ.ר.</AuthenticationTypeName>
        <LegalEntityNumber>64977</LegalEntityNumber>
        <IsMainPartyType>true</IsMainPartyType>
        <CaseDisplayIdentifier>21225-07-24</CaseDisplayIdentifier>
        <CaseTypeID>10043</CaseTypeID>
        <CaseTypeName>יישוב סכסוך (י"ס)</CaseTypeName>
        <CaseName>עאמר נ' אבו עגאג</CaseName>
        <FullAddress>ויצמן 54 כפר סבא </FullAddress>
        <MotionID>0</MotionID>
        <CasePleaID>0</CasePleaID>
        <LinkedCaseID>0</LinkedCaseID>
        <PartyID>1</PartyID>
        <CasePartyCategoryID>2</CasePartyCategoryID>
        <LegalEntityAddressID>80077619</LegalEntityAddressID>
        <PleaTypeID>5</PleaTypeID>
        <LawyerOfficeName>משרד עו"ד יוכי בן חמו תורתי</LawyerOfficeName>
        <LawyerOfficeID>73522686</LawyerOfficeID>
        <GroupPartyAlias/>
        <IsConverted>false</IsConverted>
        <LegalEntityNameID>78319315</LegalEntityNameID>
        <RepresentatedNamesOfAssistant/>
        <LegalEntityTypeID>4</LegalEntityTypeID>
        <IsVerdictExists>false</IsVerdictExists>
        <IsAsirAzir>false</IsAsirAzir>
        <MainAndSecSpec/>
        <IsPublicationProhibited>false</IsPublicationProhibited>
        <PublicationProhibitedFullName>יוכי בן חמו תורתי</PublicationProhibitedFullName>
      </CaseParties>
    </CasePartiesSelectionDS>
    <CaseName>עאמר נ' אבו עגאג</CaseName>
    <CaseDisplayIdentifier>21225-07-24</CaseDisplayIdentifier>
    <CaseInterestID>10464</CaseInterestID>
    <CaseTypeShortName>י"ס</CaseTypeShortName>
  </dt_DecisionCase>
  <dt_DecisionJudgePanel>
    <JudgeID>033828203@GOV.IL</JudgeID>
    <DisplayName>דיאנה פסו-ואגו</DisplayName>
    <RoleName>שופט</RoleName>
    <UserTitleName>שופטת</UserTitleName>
  </dt_DecisionJudgePanel>
  <dt_LegalEntityDetails>
    <Fax>073-7974554</Fax>
    <Phone>08-9974554</Phone>
    <AddressDesc/>
    <PartyID>2</PartyID>
    <PartyTypeID>2</PartyTypeID>
    <DecisionID>0</DecisionID>
    <StreetName>הקנאים 31/30</StreetName>
    <CityName>ערד</CityName>
    <FullName>רענן פלץ</FullName>
    <Email>raanan.adv@gmail.com</Email>
    <IsPublicationProhibited>false</IsPublicationProhibited>
  </dt_LegalEntityDetails>
  <dt_LegalEntityDetails>
    <Fax>02-5085088</Fax>
    <Phone>073-3745230</Phone>
    <AddressDesc/>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PartyID>1</PartyID>
    <PartyTypeID>1</PartyTypeID>
    <DecisionID>0</DecisionID>
    <CityName>כפר קאסם</CityName>
    <FullName>יקין עאמר</FullName>
    <IsPublicationProhibited>false</IsPublicationProhibited>
  </dt_LegalEntityDetails>
  <dt_LegalEntityDetails>
    <Phone>052-9405930</Phone>
    <PartyID>1</PartyID>
    <PartyTypeID>2</PartyTypeID>
    <DecisionID>0</DecisionID>
    <StreetName>אזור הקאנטרי</StreetName>
    <ZipCode>40400</ZipCode>
    <CityName>טייבה</CityName>
    <FullName>דנה חאג יחיא</FullName>
    <Email>danah.lawoffice@gmail.com</Email>
    <IsPublicationProhibited>false</IsPublicationProhibited>
  </dt_LegalEntityDetails>
  <dt_LegalEntityDetails>
    <PartyID>2</PartyID>
    <PartyTypeID>1</PartyTypeID>
    <DecisionID>0</DecisionID>
    <CityName>כסיפה</CityName>
    <FullName>וגדאן אבו עגאג</FullName>
    <IsPublicationProhibited>false</IsPublicationProhibited>
  </dt_LegalEntityDetails>
  <dt_LegalEntityDetails>
    <Fax>09-7691112</Fax>
    <Phone>09-7691111</Phone>
    <PartyID>1</PartyID>
    <PartyTypeID>2</PartyTypeID>
    <DecisionID>0</DecisionID>
    <StreetName>ויצמן 54</StreetName>
    <ZipCode>4424722</ZipCode>
    <CityName>כפר סבא</CityName>
    <FullName>יוכי בן חמו תורתי</FullName>
    <IsPublicationProhibited>false</IsPublicationProhibited>
  </dt_LegalEntityDetails>
  <dt_CaseJudicalPersonActive>
    <CaseJudicalPerson>שופטת דיאנה פסו-ואגו</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4B929-9623-4A25-B406-C6D97D1C1DF2}">
  <ds:schemaRefs/>
</ds:datastoreItem>
</file>

<file path=customXml/itemProps2.xml><?xml version="1.0" encoding="utf-8"?>
<ds:datastoreItem xmlns:ds="http://schemas.openxmlformats.org/officeDocument/2006/customXml" ds:itemID="{9020EBBC-D7BA-43D4-B7AC-D7494EF0A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1691</Words>
  <Characters>8459</Characters>
  <Application>Microsoft Office Word</Application>
  <DocSecurity>0</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2024-08-29T12:11:00Z</dcterms:created>
  <dcterms:modified xsi:type="dcterms:W3CDTF">2024-08-29T12:11:00Z</dcterms:modified>
</cp:coreProperties>
</file>